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2545715</wp:posOffset>
            </wp:positionH>
            <wp:positionV relativeFrom="paragraph">
              <wp:posOffset>-401319</wp:posOffset>
            </wp:positionV>
            <wp:extent cx="1630045" cy="140017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rPr/>
      </w:pPr>
      <w:r w:rsidDel="00000000" w:rsidR="00000000" w:rsidRPr="00000000">
        <w:rPr>
          <w:b w:val="1"/>
          <w:rtl w:val="0"/>
        </w:rPr>
        <w:t xml:space="preserve">General Safeguarding and Welfare Requirement: Safety and Suitability of Premises, Environment and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Providers must have a no-smoking policy, and must prevent smoking in a room, or outside play area, when children are present or about to be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3.13 No-smoking/Vaping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Policy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We comply with health and safety regulations and the Safeguarding and Welfare Requirements of the Early Years Foundation Stage in making our setting a no-smoking/vaping environment - both indoors and outdoors.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All staff, parents and volunteers are made aware of our No-smoking/vaping Policy.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No-smoking signs are displayed.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The No-smoking/vaping Policy is stated in information for parents.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We actively encourage no-smoking by having information for parents and staff about where to get help to stop smoking if they are seeking this information.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Staff who smoke/vape do not do so during working hours, unless on a break and off the premises or in a designated area.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Staff who smoke/vape during their break make every effort to reduce the effect of the odour and lingering effects of passive smoking for children and colleagues. Eg. wash hands and freshen breath.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Legal framework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The Smoke-free (Premises and Enforcement) Regulations (2006)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The Smoke-free (Signs) Regulations (2012)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108.0" w:type="dxa"/>
        <w:tblLayout w:type="fixed"/>
        <w:tblLook w:val="0000"/>
      </w:tblPr>
      <w:tblGrid>
        <w:gridCol w:w="4860"/>
        <w:gridCol w:w="3680"/>
        <w:gridCol w:w="2020"/>
        <w:tblGridChange w:id="0">
          <w:tblGrid>
            <w:gridCol w:w="4860"/>
            <w:gridCol w:w="3680"/>
            <w:gridCol w:w="20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