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303309" cy="1638300"/>
            <wp:effectExtent b="0" l="0" r="0" t="0"/>
            <wp:docPr descr="Macintosh HD:Users:carlrichardson:Desktop:Early Explorers Logo.pdf" id="1" name="image1.png"/>
            <a:graphic>
              <a:graphicData uri="http://schemas.openxmlformats.org/drawingml/2006/picture">
                <pic:pic>
                  <pic:nvPicPr>
                    <pic:cNvPr descr="Macintosh HD:Users:carlrichardson:Desktop:Early Explorers Logo.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309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6.21 EE Coming in from outside PROCEDURE - Bishops Manor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tambourine is shaken - the children are given a 5 minute warning to end their play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minutes later, the tambourine is shaken again - the children are directed to tidy up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gold bell is rung inside and out - this indicated </w:t>
      </w:r>
      <w:r w:rsidDel="00000000" w:rsidR="00000000" w:rsidRPr="00000000">
        <w:rPr>
          <w:b w:val="1"/>
          <w:sz w:val="28"/>
          <w:szCs w:val="28"/>
          <w:rtl w:val="0"/>
        </w:rPr>
        <w:t xml:space="preserve">end of play, all children go to the cloakroom.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Headcount commences.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If all children are accounted for - the routine is then followed. </w:t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If any children are unaccounted for - sweeps of the building and outdoors commence.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all children are accounted for the routine is then followed.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