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01</w:t>
        <w:tab/>
        <w:t xml:space="preserve"> Health and safety procedures</w:t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01.20</w:t>
        <w:tab/>
        <w:t xml:space="preserve"> Notifiable incident, non- child protection</w:t>
      </w:r>
    </w:p>
    <w:p w:rsidR="00000000" w:rsidDel="00000000" w:rsidP="00000000" w:rsidRDefault="00000000" w:rsidRPr="00000000" w14:paraId="00000004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 respond swiftly, appropriately and effectively in the case of an incident within the setting. Notifiable incidents in this procedure are those not involving child protection. </w:t>
      </w:r>
    </w:p>
    <w:p w:rsidR="00000000" w:rsidDel="00000000" w:rsidP="00000000" w:rsidRDefault="00000000" w:rsidRPr="00000000" w14:paraId="00000005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‘notifiable’ incident’ could include:</w:t>
      </w:r>
    </w:p>
    <w:p w:rsidR="00000000" w:rsidDel="00000000" w:rsidP="00000000" w:rsidRDefault="00000000" w:rsidRPr="00000000" w14:paraId="00000006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or suspected arson</w:t>
      </w:r>
    </w:p>
    <w:p w:rsidR="00000000" w:rsidDel="00000000" w:rsidP="00000000" w:rsidRDefault="00000000" w:rsidRPr="00000000" w14:paraId="00000007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electric or Gas fault</w:t>
      </w:r>
    </w:p>
    <w:p w:rsidR="00000000" w:rsidDel="00000000" w:rsidP="00000000" w:rsidRDefault="00000000" w:rsidRPr="00000000" w14:paraId="00000008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burst pipe, severe leak or flooding</w:t>
      </w:r>
    </w:p>
    <w:p w:rsidR="00000000" w:rsidDel="00000000" w:rsidP="00000000" w:rsidRDefault="00000000" w:rsidRPr="00000000" w14:paraId="00000009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severe weather that has caused an incident or damage to property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break-in with vandalism or theft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staff, parent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carer or visitor mugged or assaulted on site or in vicinity on the way to or from the setting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outbreak of a notifiable disease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 or parent threatened/assaulted on the premises by a parent or visitor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accidents due to any other faults (that are reportable under RIDDOR)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lost child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event or information that becomes known, that may have implications for the setting or the wider organisation in the future use</w:t>
      </w:r>
    </w:p>
    <w:p w:rsidR="00000000" w:rsidDel="00000000" w:rsidP="00000000" w:rsidRDefault="00000000" w:rsidRPr="00000000" w14:paraId="00000011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designated health and safety officer. 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has all emergency services numbers immediately to hand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has a list of contacts for maintenance and repair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ensure that members of staff know what to do in an emergency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risk assess the situation and decides, with the owners/trustees/directors, if the premises are safe to receive children before any children arrive or to offer a limited service</w:t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Emergency evacuation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most instances, children will not be evacuated from the premises unless there is an immediate risk or unless they are advised to do so by the emergency services.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There is an emergency evacuation procedure in place which is unique to the setting and based upon risk assessment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 line with others using the building.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Emergency evacuation procedures are practised regularly and are reviewed according to risk assessment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(as above).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 evacuate children to a pre-designated area (as per the fire drill), unless advised by the emergency services that the designated area is not suitable at that time.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Once evacuated, nobody enters the premises, until the emergency services say so.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Members of staff will always act upon the advice of the emergency services.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94.467773437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before="120" w:line="36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3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Emergency Closure</w:t>
      </w:r>
    </w:p>
    <w:p w:rsidR="00000000" w:rsidDel="00000000" w:rsidP="00000000" w:rsidRDefault="00000000" w:rsidRPr="00000000" w14:paraId="0000001F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circumstances under which the setting may be closed due to an incident include: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owners/directors/trustees make the decision to close – thereby withdrawing the service.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third party makes the decision to close for example: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school, where the setting is on a school site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children’s centre (if on a children’s centre site)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emergency services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/carer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makes the decision for their child not to attend.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If a parent/care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makes the decision for their child not to attend due to a critical incident, the child’s fees are due as normal.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consideration of individual incidences must be done in consultation with the owners/trustees/directors.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Recording and reporting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 discovery of the notifiable incident, the member of staff reports to the appropriate emergency service, fire, police, ambulance, if those services are needed.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member of staff ensures that the setting manager and/or deputy are informed (if not on the premises at the time) and that the owners/trustees/directors are informed. 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setting manager completes and sends an incident record to the owners/trustees/directors, who, according to the severity of the incident notifies Ofsted, the childminde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 agenc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y, and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/or RIDDOR. 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the incident indicates that a crime may have been committed, all staff witness to the incident should make a written statement.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 do not discuss the incident with the press.</w:t>
      </w:r>
    </w:p>
    <w:p w:rsidR="00000000" w:rsidDel="00000000" w:rsidP="00000000" w:rsidRDefault="00000000" w:rsidRPr="00000000" w14:paraId="0000002E">
      <w:pPr>
        <w:spacing w:after="120" w:before="120"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RIDDOR reportable events include: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120" w:before="120" w:line="360" w:lineRule="auto"/>
        <w:ind w:left="36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Specified injuries at work, as detailed at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www.hse.gov.uk/pubns/indg453.pdf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120" w:before="120" w:line="360" w:lineRule="auto"/>
        <w:ind w:left="36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Fatal accidents to staff, children, and visitors (parents/carers).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120" w:before="120" w:line="360" w:lineRule="auto"/>
        <w:ind w:left="36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Accidents resulting in the incapacitation of staff for more than seven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Injuries to members of the public, including parents/carers’ and children, where they are taken to hospital.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Dangerous ‘specified’ occurrences, where no-one is injured but they could have been. (these are usually industrial incidents).</w:t>
      </w:r>
    </w:p>
    <w:p w:rsidR="00000000" w:rsidDel="00000000" w:rsidP="00000000" w:rsidRDefault="00000000" w:rsidRPr="00000000" w14:paraId="00000034">
      <w:pPr>
        <w:spacing w:after="120" w:before="120"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may include: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member of staff injures back at work through lifting and is off for two weeks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parent/carer slips on a wet floor near the water tray and is taken to hospital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child falls from a climbing frame and is taken to hospital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ceiling collapses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outbreak of Legionella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setting manager informs the owners/trustees/directors and completes an accident and/or incident record; witness statements are taken as previously detailed.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incident is RIDDOR reportable, the setting manager telephones HSE Contact Centre on 0345 300 9923 or reports online at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www.hse.gov.uk/riddor/report.htm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RIDDOR Reportable events require reporting to RIDDOR within 15 days of the event occurring.</w:t>
      </w:r>
    </w:p>
    <w:p w:rsidR="00000000" w:rsidDel="00000000" w:rsidP="00000000" w:rsidRDefault="00000000" w:rsidRPr="00000000" w14:paraId="0000003D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local authority investigates all reported injuries, diseases, or dangerous occurrences. They will decide if there has been a breach in health and safety regulations and will decide what measures will be taken. </w:t>
      </w:r>
    </w:p>
    <w:p w:rsidR="00000000" w:rsidDel="00000000" w:rsidP="00000000" w:rsidRDefault="00000000" w:rsidRPr="00000000" w14:paraId="0000003E">
      <w:pPr>
        <w:spacing w:after="120" w:before="120"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 owners/trustees/directors review how the situation was managed, as above, to ensure that investigations were rigorous, and that policies and procedures were followed.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an insurance claim is likely: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Incidents such as fire, theft or flood are notified to the insurance provider immediately.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setting does not admit liability.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broken or faulty equipment is involved, it must not be repaired, destroyed, or disposed of, in case it is needed during the investigation.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communication from a solicitor is received on behalf of the injured party, this is sent directly to the insurance provider; the setting manager will then write to the solicitor to confirm that the letter has been passed on.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incident is not discussed with any outside persons, or other parents/carers, no matter what questions they may ask about their own child’s safety in relation to the incident, as it is regarded as confidential under the Data Protection Act.</w:t>
      </w:r>
    </w:p>
    <w:sectPr>
      <w:footerReference r:id="rId10" w:type="default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2025/26 (Early Years Alliance 2025) 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360" w:hanging="360"/>
      </w:pPr>
      <w:rPr>
        <w:rFonts w:ascii="Calibri" w:cs="Calibri" w:eastAsia="Calibri" w:hAnsi="Calibri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ο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2"/>
      <w:numFmt w:val="decimal"/>
      <w:lvlText w:val="%3"/>
      <w:lvlJc w:val="left"/>
      <w:pPr>
        <w:ind w:left="1980" w:hanging="360"/>
      </w:pPr>
      <w:rPr>
        <w:b w:val="1"/>
      </w:rPr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•"/>
      <w:lvlJc w:val="left"/>
      <w:pPr>
        <w:ind w:left="360" w:hanging="360"/>
      </w:pPr>
      <w:rPr>
        <w:rFonts w:ascii="Calibri" w:cs="Calibri" w:eastAsia="Calibri" w:hAnsi="Calibri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•"/>
      <w:lvlJc w:val="left"/>
      <w:pPr>
        <w:ind w:left="360" w:hanging="360"/>
      </w:pPr>
      <w:rPr>
        <w:rFonts w:ascii="Calibri" w:cs="Calibri" w:eastAsia="Calibri" w:hAnsi="Calibri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36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•"/>
      <w:lvlJc w:val="left"/>
      <w:pPr>
        <w:ind w:left="360" w:hanging="360"/>
      </w:pPr>
      <w:rPr>
        <w:rFonts w:ascii="Calibri" w:cs="Calibri" w:eastAsia="Calibri" w:hAnsi="Calibri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•"/>
      <w:lvlJc w:val="left"/>
      <w:pPr>
        <w:ind w:left="360" w:hanging="360"/>
      </w:pPr>
      <w:rPr>
        <w:rFonts w:ascii="Calibri" w:cs="Calibri" w:eastAsia="Calibri" w:hAnsi="Calibri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•"/>
      <w:lvlJc w:val="left"/>
      <w:pPr>
        <w:ind w:left="360" w:hanging="360"/>
      </w:pPr>
      <w:rPr>
        <w:rFonts w:ascii="Calibri" w:cs="Calibri" w:eastAsia="Calibri" w:hAnsi="Calibri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-"/>
      <w:lvlJc w:val="left"/>
      <w:pPr>
        <w:ind w:left="36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61F0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cs="Times New Roman" w:eastAsia="Times New Roman" w:hAnsi="Times New Roman"/>
      <w:sz w:val="24"/>
    </w:rPr>
  </w:style>
  <w:style w:type="character" w:styleId="Hyperlink">
    <w:name w:val="Hyperlink"/>
    <w:semiHidden w:val="1"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 w:val="1"/>
    <w:rsid w:val="0069148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69148B"/>
    <w:rPr>
      <w:rFonts w:ascii="Tahoma" w:cs="Tahoma" w:eastAsia="Times New Roman" w:hAnsi="Tahoma"/>
      <w:sz w:val="16"/>
      <w:szCs w:val="16"/>
      <w:lang w:eastAsia="en-US"/>
    </w:rPr>
  </w:style>
  <w:style w:type="character" w:styleId="PlaceholderText">
    <w:name w:val="Placeholder Text"/>
    <w:uiPriority w:val="99"/>
    <w:semiHidden w:val="1"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 w:val="1"/>
      <w:bCs w:val="1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cs="Times New Roman" w:eastAsia="Times New Roman" w:hAnsi="Cambria"/>
      <w:b w:val="1"/>
      <w:bCs w:val="1"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 w:val="1"/>
    <w:rsid w:val="00324ADE"/>
    <w:rPr>
      <w:rFonts w:ascii="Cambria" w:cs="Times New Roman" w:eastAsia="Times New Roman" w:hAnsi="Cambria"/>
      <w:b w:val="1"/>
      <w:bCs w:val="1"/>
      <w:i w:val="1"/>
      <w:iCs w:val="1"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cs="Times New Roman" w:eastAsia="Times New Roman" w:hAnsi="Cambria"/>
      <w:i w:val="1"/>
      <w:iCs w:val="1"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 w:val="1"/>
    <w:rsid w:val="00324ADE"/>
    <w:rPr>
      <w:rFonts w:ascii="Cambria" w:cs="Times New Roman" w:eastAsia="Times New Roman" w:hAnsi="Cambria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 w:val="1"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 w:val="1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 w:val="1"/>
    <w:rsid w:val="00324ADE"/>
    <w:rPr>
      <w:rFonts w:ascii="Cambria" w:cs="Times New Roman" w:eastAsia="Times New Roman" w:hAnsi="Cambria"/>
      <w:b w:val="1"/>
      <w:bCs w:val="1"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 w:val="1"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cs="Times New Roman" w:eastAsia="Times New Roman" w:hAnsi="Times New Roman"/>
      <w:sz w:val="16"/>
      <w:szCs w:val="16"/>
      <w:lang w:eastAsia="en-US"/>
    </w:rPr>
  </w:style>
  <w:style w:type="character" w:styleId="TitleChar" w:customStyle="1">
    <w:name w:val="Title Char"/>
    <w:link w:val="Title"/>
    <w:rsid w:val="00324ADE"/>
    <w:rPr>
      <w:rFonts w:cs="Times New Roman" w:eastAsia="Times New Roman"/>
      <w:b w:val="1"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 w:val="1"/>
    <w:rsid w:val="008261F0"/>
    <w:rPr>
      <w:rFonts w:ascii="Cambria" w:cs="Times New Roman" w:eastAsia="Times New Roman" w:hAnsi="Cambria"/>
      <w:sz w:val="22"/>
      <w:szCs w:val="22"/>
      <w:lang w:eastAsia="en-US"/>
    </w:rPr>
  </w:style>
  <w:style w:type="character" w:styleId="CommentReference">
    <w:name w:val="annotation reference"/>
    <w:uiPriority w:val="99"/>
    <w:semiHidden w:val="1"/>
    <w:unhideWhenUsed w:val="1"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7D73FB"/>
    <w:rPr>
      <w:rFonts w:ascii="Times New Roman" w:cs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 w:val="1"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 w:val="1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cs="GAOJB K+ Helvetica Neue" w:eastAsia="Times New Roman" w:hAnsi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color="auto" w:fill="ffffff" w:val="clear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 w:val="1"/>
    <w:unhideWhenUsed w:val="1"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 w:val="1"/>
    <w:rsid w:val="00473ABD"/>
    <w:pPr>
      <w:spacing w:after="100" w:afterAutospacing="1" w:before="100" w:before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 w:val="1"/>
    <w:rsid w:val="00F865A0"/>
    <w:rPr>
      <w:b w:val="1"/>
      <w:bCs w:val="1"/>
    </w:rPr>
  </w:style>
  <w:style w:type="table" w:styleId="TableGrid">
    <w:name w:val="Table Grid"/>
    <w:basedOn w:val="TableNormal"/>
    <w:uiPriority w:val="59"/>
    <w:rsid w:val="003725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42A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373B23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hse.gov.uk/riddor/report.ht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hse.gov.uk/pubns/indg453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zpXlPqYGDRNEh9p/Fv95jm3jQ==">CgMxLjA4AHIhMWxwSktIcnM0ZlpKTVlZWVI0eXhmaGVtcTBfREpwRTJN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2024-01-31T10:20:00Z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