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02</w:t>
        <w:tab/>
        <w:t xml:space="preserve">Fire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02.1</w:t>
        <w:tab/>
        <w:t xml:space="preserve">Fire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setting manager or named fire marshal (if applicable) Early Explorers Community Pre-Schools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have access to, or a copy of, the fire safety procedures specific to the building and ensure they align with these procedures. The setting manager/fire marshal makes reasonable adjustments as required to ensure the two documents do not contradict each other.</w:t>
      </w:r>
    </w:p>
    <w:p w:rsidR="00000000" w:rsidDel="00000000" w:rsidP="00000000" w:rsidRDefault="00000000" w:rsidRPr="00000000" w14:paraId="00000005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Fire safety risk assessment</w:t>
      </w:r>
    </w:p>
    <w:p w:rsidR="00000000" w:rsidDel="00000000" w:rsidP="00000000" w:rsidRDefault="00000000" w:rsidRPr="00000000" w14:paraId="00000006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02.1a Fire safety risk assessment form is carried out in each area of the setting by a competent person, or a named fire marshal, using the five steps to fire safety risk assessment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Identify fire hazards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Sources of ignition.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Sources of fuel.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Sources of oxygen (including oxygen tanks for disabled children).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Identify people at risk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in and around the premises.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especially at risk including very young babies, less ambulant disabled children or those using specialised equipment, such as splints, standing frames.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Evaluate, remove, reduce and protect from the risk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 the risk of the fire occurring.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 the risk to people from a fire starting on the premises.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 and reduce the hazards that may cause a fire.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 and reduce the risks to people from a fire.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Record, plan, inform, instruct, train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significant findings and action taken.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 emergency plan.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 and instruct relevant people; inform and co-operate with others.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training.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assessment under review and revise when necessary.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fire safety risk assessment focuses on the following for each area: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Electrical plugs, wires, sockets.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Electrical items.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Gas boilers.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Cookers.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Matches.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Flammable materials, including furniture, furnishings, paper etc.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Flammable chemicals (which are also covered in COSHH).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Means of escape.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other, as identified.</w:t>
      </w:r>
    </w:p>
    <w:p w:rsidR="00000000" w:rsidDel="00000000" w:rsidP="00000000" w:rsidRDefault="00000000" w:rsidRPr="00000000" w14:paraId="00000025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Fire safety precautions include: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electrical equipment is checked by a qualified electrician annually.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faulty electrical equipment is taken out of use and recorded as such or condemned (whichever is necessary).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Sockets are covered. This is different to using plug sockets inserts, a socket cover, covers the whole socket, including the switch and is safe to use.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Water and electrical items do not come into contact; staff do not touch electrical items with wet hands.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fire safety equipment is checked annually.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Gas boilers and cookers are checked and serviced annually by a Gas Safe registered engineer.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matches are used in the kitchen, they are kept in a drawer.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Oxygen tanks.</w:t>
      </w:r>
    </w:p>
    <w:p w:rsidR="00000000" w:rsidDel="00000000" w:rsidP="00000000" w:rsidRDefault="00000000" w:rsidRPr="00000000" w14:paraId="0000002E">
      <w:pPr>
        <w:pStyle w:val="Heading1"/>
        <w:spacing w:after="120" w:before="12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Fire Drills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Drills (to include emergency evacuation procedures and lock down) are held at least termly.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Drills are recorded, including: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120" w:before="12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 of drill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20" w:before="12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involved and numbers of children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20" w:before="12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how long it took to evacuate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20" w:before="12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reason for a delay in achieving the target time and how this will be remedied</w:t>
      </w:r>
    </w:p>
    <w:p w:rsidR="00000000" w:rsidDel="00000000" w:rsidP="00000000" w:rsidRDefault="00000000" w:rsidRPr="00000000" w14:paraId="00000035">
      <w:pPr>
        <w:pStyle w:val="Heading1"/>
        <w:spacing w:after="120" w:before="12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Fire precautions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exit signs are the green ‘running man’ signs and are in place and clearly visible.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exits by doors are those that show a green light at night.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doors are not locked during normal working hours.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evacuation notices are in every room; these are displayed in print large enough to read from a short distance. They say where the assembly point is.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alarms are in place and tested monthly, and where necessary supplemented with visual warnings. This is recorded.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Smoke alarms are in place and tested monthly. This is recorded.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fire blanket is in place in the kitchen (and any other location where there is a cooker).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extinguishers are in place and are appropriate.</w:t>
      </w:r>
    </w:p>
    <w:p w:rsidR="00000000" w:rsidDel="00000000" w:rsidP="00000000" w:rsidRDefault="00000000" w:rsidRPr="00000000" w14:paraId="0000003E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Further guidance</w:t>
      </w:r>
    </w:p>
    <w:p w:rsidR="00000000" w:rsidDel="00000000" w:rsidP="00000000" w:rsidRDefault="00000000" w:rsidRPr="00000000" w14:paraId="0000003F">
      <w:pPr>
        <w:spacing w:after="120" w:before="120" w:line="360" w:lineRule="auto"/>
        <w:rPr>
          <w:rFonts w:ascii="Arial" w:cs="Arial" w:eastAsia="Arial" w:hAnsi="Arial"/>
          <w:color w:val="ff0000"/>
          <w:sz w:val="22"/>
          <w:szCs w:val="22"/>
        </w:rPr>
      </w:pPr>
      <w:bookmarkStart w:colFirst="0" w:colLast="0" w:name="_heading=h.g6vmle3p7uh8" w:id="0"/>
      <w:bookmarkEnd w:id="0"/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Dynamic Risk Management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(Alliance Publication)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Fire Safety Record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(Alliance Publication)</w:t>
      </w:r>
    </w:p>
    <w:p w:rsidR="00000000" w:rsidDel="00000000" w:rsidP="00000000" w:rsidRDefault="00000000" w:rsidRPr="00000000" w14:paraId="00000041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Safety Risk Assessment: Educational Premises (HMG 2006):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https://www.gov.uk/government/publications/fire-safety-risk-assessment-educational-premises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720" w:top="720" w:left="720" w:right="720" w:header="708" w:footer="708"/>
      <w:pgNumType w:start="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 (Early Years Alliance 2025) 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152802"/>
    <w:pPr>
      <w:ind w:left="720"/>
    </w:pPr>
  </w:style>
  <w:style w:type="character" w:styleId="Heading1Char" w:customStyle="1">
    <w:name w:val="Heading 1 Char"/>
    <w:link w:val="Heading1"/>
    <w:rsid w:val="00152802"/>
    <w:rPr>
      <w:rFonts w:eastAsia="Times New Roman"/>
      <w:b w:val="1"/>
      <w:bCs w:val="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050D5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50D5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50D5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50D5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0D51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050D51"/>
    <w:rPr>
      <w:rFonts w:ascii="Tahoma" w:cs="Tahoma" w:eastAsia="Times New Roman" w:hAnsi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958F3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FE488A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gov.uk/government/publications/fire-safety-risk-assessment-educational-premises" TargetMode="External"/><Relationship Id="rId9" Type="http://schemas.openxmlformats.org/officeDocument/2006/relationships/hyperlink" Target="https://central.eyalliance.org.uk/ilp/pages/description.jsf?menuId=1106#/users/@self/catalogues/1700/courses/128357/descripti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lfuS+G3iP28G90ZHfnHRAjXTQ==">CgMxLjAyDmguZzZ2bWxlM3A3dWg4OAByITFvZTZfRTNtMmxvVEdPeUNlMkZsQTdid3JoekNta1VsVA==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2025-07-18T08:46:00.0000000Z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