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b w:val="1"/>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720"/>
          <w:tab w:val="left" w:leader="none" w:pos="1440"/>
          <w:tab w:val="left" w:leader="none" w:pos="2160"/>
          <w:tab w:val="left" w:leader="none" w:pos="2880"/>
          <w:tab w:val="left" w:leader="none" w:pos="3600"/>
          <w:tab w:val="left" w:leader="none" w:pos="4245"/>
        </w:tabs>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04</w:t>
        <w:tab/>
        <w:t xml:space="preserve">Health policy</w:t>
      </w:r>
    </w:p>
    <w:p w:rsidR="00000000" w:rsidDel="00000000" w:rsidP="00000000" w:rsidRDefault="00000000" w:rsidRPr="00000000" w14:paraId="00000003">
      <w:pPr>
        <w:pStyle w:val="Heading1"/>
        <w:spacing w:after="120" w:before="120" w:line="360" w:lineRule="auto"/>
        <w:rPr>
          <w:b w:val="0"/>
          <w:sz w:val="22"/>
          <w:szCs w:val="22"/>
        </w:rPr>
      </w:pPr>
      <w:r w:rsidDel="00000000" w:rsidR="00000000" w:rsidRPr="00000000">
        <w:rPr>
          <w:b w:val="0"/>
          <w:sz w:val="22"/>
          <w:szCs w:val="22"/>
          <w:rtl w:val="0"/>
        </w:rPr>
        <w:t xml:space="preserve">Alongside associated procedures in 04.1-04.7 Health, this policy was adopted by Early Explorers Community Pre-Schools on 1st September 2025</w:t>
      </w:r>
    </w:p>
    <w:p w:rsidR="00000000" w:rsidDel="00000000" w:rsidP="00000000" w:rsidRDefault="00000000" w:rsidRPr="00000000" w14:paraId="00000004">
      <w:pPr>
        <w:pStyle w:val="Heading1"/>
        <w:spacing w:after="120" w:before="120" w:line="360" w:lineRule="auto"/>
        <w:rPr>
          <w:sz w:val="22"/>
          <w:szCs w:val="22"/>
        </w:rPr>
      </w:pPr>
      <w:r w:rsidDel="00000000" w:rsidR="00000000" w:rsidRPr="00000000">
        <w:rPr>
          <w:sz w:val="22"/>
          <w:szCs w:val="22"/>
          <w:rtl w:val="0"/>
        </w:rPr>
        <w:t xml:space="preserve">Aim</w:t>
      </w:r>
    </w:p>
    <w:p w:rsidR="00000000" w:rsidDel="00000000" w:rsidP="00000000" w:rsidRDefault="00000000" w:rsidRPr="00000000" w14:paraId="00000005">
      <w:pPr>
        <w:pStyle w:val="Heading1"/>
        <w:spacing w:after="120" w:before="120" w:line="360" w:lineRule="auto"/>
        <w:rPr>
          <w:b w:val="0"/>
          <w:sz w:val="22"/>
          <w:szCs w:val="22"/>
        </w:rPr>
      </w:pPr>
      <w:r w:rsidDel="00000000" w:rsidR="00000000" w:rsidRPr="00000000">
        <w:rPr>
          <w:b w:val="0"/>
          <w:sz w:val="22"/>
          <w:szCs w:val="22"/>
          <w:rtl w:val="0"/>
        </w:rPr>
        <w:t xml:space="preserve">Early Explorers Community Pre-Schools are</w:t>
      </w:r>
      <w:r w:rsidDel="00000000" w:rsidR="00000000" w:rsidRPr="00000000">
        <w:rPr>
          <w:b w:val="0"/>
          <w:sz w:val="22"/>
          <w:szCs w:val="22"/>
          <w:rtl w:val="0"/>
        </w:rPr>
        <w:t xml:space="preserve"> suitable, clean, and safe places for children to be cared for, where they can grow and learn. They meet all statutory requirements for promoting health and hygiene and fulfil the criteria for meeting the relevant Early Years Foundation Stage Safeguarding and Welfare requirements.</w:t>
      </w:r>
    </w:p>
    <w:p w:rsidR="00000000" w:rsidDel="00000000" w:rsidP="00000000" w:rsidRDefault="00000000" w:rsidRPr="00000000" w14:paraId="00000006">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Objectives </w:t>
      </w:r>
    </w:p>
    <w:p w:rsidR="00000000" w:rsidDel="00000000" w:rsidP="00000000" w:rsidRDefault="00000000" w:rsidRPr="00000000" w14:paraId="0000000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promote health through:</w:t>
      </w:r>
    </w:p>
    <w:p w:rsidR="00000000" w:rsidDel="00000000" w:rsidP="00000000" w:rsidRDefault="00000000" w:rsidRPr="00000000" w14:paraId="0000000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emergency and first aid treatment is given where necessary.</w:t>
      </w:r>
    </w:p>
    <w:p w:rsidR="00000000" w:rsidDel="00000000" w:rsidP="00000000" w:rsidRDefault="00000000" w:rsidRPr="00000000" w14:paraId="00000009">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medicine necessary to maintain health is given correctly and in accordance with legal requirements.</w:t>
      </w:r>
    </w:p>
    <w:p w:rsidR="00000000" w:rsidDel="00000000" w:rsidP="00000000" w:rsidRDefault="00000000" w:rsidRPr="00000000" w14:paraId="0000000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Identifying allergies and preventing contact with the allergenic substance.</w:t>
      </w:r>
    </w:p>
    <w:p w:rsidR="00000000" w:rsidDel="00000000" w:rsidP="00000000" w:rsidRDefault="00000000" w:rsidRPr="00000000" w14:paraId="0000000B">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Having ongoing discussions with parents/carers to develop allergy action plans for managing individual children’s known allergies and intolerances.</w:t>
      </w:r>
    </w:p>
    <w:p w:rsidR="00000000" w:rsidDel="00000000" w:rsidP="00000000" w:rsidRDefault="00000000" w:rsidRPr="00000000" w14:paraId="0000000C">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all staff are aware of the symptoms and treatments for allergies and anaphylaxis and that children can develop these at any time, especially during weaning.</w:t>
      </w:r>
    </w:p>
    <w:p w:rsidR="00000000" w:rsidDel="00000000" w:rsidP="00000000" w:rsidRDefault="00000000" w:rsidRPr="00000000" w14:paraId="0000000D">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all staff know the difference between allergies and intolerances.</w:t>
      </w:r>
    </w:p>
    <w:p w:rsidR="00000000" w:rsidDel="00000000" w:rsidP="00000000" w:rsidRDefault="00000000" w:rsidRPr="00000000" w14:paraId="0000000E">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Identifying food ingredients that contain recognised allergens and displaying this information for parents/carers.</w:t>
      </w:r>
    </w:p>
    <w:p w:rsidR="00000000" w:rsidDel="00000000" w:rsidP="00000000" w:rsidRDefault="00000000" w:rsidRPr="00000000" w14:paraId="0000000F">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Identifying and promoting health through taking the necessary steps to prevent the spread of infection and taking appropriate action when children are ill.</w:t>
      </w:r>
    </w:p>
    <w:p w:rsidR="00000000" w:rsidDel="00000000" w:rsidP="00000000" w:rsidRDefault="00000000" w:rsidRPr="00000000" w14:paraId="00000010">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ongoing discussions with parents take place regarding the stage their child is at in relation to introducing solid foods including the texture the child is familiar with.</w:t>
      </w:r>
    </w:p>
    <w:p w:rsidR="00000000" w:rsidDel="00000000" w:rsidP="00000000" w:rsidRDefault="00000000" w:rsidRPr="00000000" w14:paraId="00000011">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food prepared is in line with the child’s individual developmental needs.</w:t>
      </w:r>
    </w:p>
    <w:p w:rsidR="00000000" w:rsidDel="00000000" w:rsidP="00000000" w:rsidRDefault="00000000" w:rsidRPr="00000000" w14:paraId="00000012">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Working in partnership with parents to help children to move on to the next stage of weaning at a pace that is right for their child.</w:t>
      </w:r>
    </w:p>
    <w:p w:rsidR="00000000" w:rsidDel="00000000" w:rsidP="00000000" w:rsidRDefault="00000000" w:rsidRPr="00000000" w14:paraId="00000013">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food is prepared for children in a way that prevents choking.</w:t>
      </w:r>
    </w:p>
    <w:p w:rsidR="00000000" w:rsidDel="00000000" w:rsidP="00000000" w:rsidRDefault="00000000" w:rsidRPr="00000000" w14:paraId="00000014">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babies and young children are sat safely in a highchair or suitable low sized chair when eating.</w:t>
      </w:r>
    </w:p>
    <w:p w:rsidR="00000000" w:rsidDel="00000000" w:rsidP="00000000" w:rsidRDefault="00000000" w:rsidRPr="00000000" w14:paraId="00000015">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children are always in sight and hearing of a staff member, who is a paediatric first aider, whilst eating and the staff member is sat facing the children.</w:t>
      </w:r>
    </w:p>
    <w:p w:rsidR="00000000" w:rsidDel="00000000" w:rsidP="00000000" w:rsidRDefault="00000000" w:rsidRPr="00000000" w14:paraId="00000016">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Recording all choking incidents that requires intervention.</w:t>
      </w:r>
    </w:p>
    <w:p w:rsidR="00000000" w:rsidDel="00000000" w:rsidP="00000000" w:rsidRDefault="00000000" w:rsidRPr="00000000" w14:paraId="00000017">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Promoting healthy lifestyle choices through diet and exercise.</w:t>
      </w:r>
    </w:p>
    <w:p w:rsidR="00000000" w:rsidDel="00000000" w:rsidP="00000000" w:rsidRDefault="00000000" w:rsidRPr="00000000" w14:paraId="00000018">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Supporting parents right to choose complementary therapies.</w:t>
      </w:r>
    </w:p>
    <w:p w:rsidR="00000000" w:rsidDel="00000000" w:rsidP="00000000" w:rsidRDefault="00000000" w:rsidRPr="00000000" w14:paraId="00000019">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Recognising the benefits of baby and child massage, by parents/carers or staff carrying out massage under conditions that maintain the personal safety of children.</w:t>
      </w:r>
    </w:p>
    <w:p w:rsidR="00000000" w:rsidDel="00000000" w:rsidP="00000000" w:rsidRDefault="00000000" w:rsidRPr="00000000" w14:paraId="0000001A">
      <w:pPr>
        <w:numPr>
          <w:ilvl w:val="0"/>
          <w:numId w:val="1"/>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Pandemic flu planning or illness outbreak management as per DfE and World Health Organisation (WHO) guidance.</w:t>
      </w:r>
    </w:p>
    <w:p w:rsidR="00000000" w:rsidDel="00000000" w:rsidP="00000000" w:rsidRDefault="00000000" w:rsidRPr="00000000" w14:paraId="0000001B">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Legal references</w:t>
      </w:r>
    </w:p>
    <w:p w:rsidR="00000000" w:rsidDel="00000000" w:rsidP="00000000" w:rsidRDefault="00000000" w:rsidRPr="00000000" w14:paraId="0000001C">
      <w:pPr>
        <w:spacing w:after="120" w:before="120" w:line="360" w:lineRule="auto"/>
        <w:rPr>
          <w:rFonts w:ascii="Arial" w:cs="Arial" w:eastAsia="Arial" w:hAnsi="Arial"/>
          <w:sz w:val="22"/>
          <w:szCs w:val="22"/>
        </w:rPr>
      </w:pPr>
      <w:hyperlink r:id="rId8">
        <w:r w:rsidDel="00000000" w:rsidR="00000000" w:rsidRPr="00000000">
          <w:rPr>
            <w:rFonts w:ascii="Arial" w:cs="Arial" w:eastAsia="Arial" w:hAnsi="Arial"/>
            <w:color w:val="0000ff"/>
            <w:sz w:val="22"/>
            <w:szCs w:val="22"/>
            <w:u w:val="single"/>
            <w:rtl w:val="0"/>
          </w:rPr>
          <w:t xml:space="preserve">Medicines Act (1968)</w:t>
        </w:r>
      </w:hyperlink>
      <w:r w:rsidDel="00000000" w:rsidR="00000000" w:rsidRPr="00000000">
        <w:rPr>
          <w:rtl w:val="0"/>
        </w:rPr>
      </w:r>
    </w:p>
    <w:p w:rsidR="00000000" w:rsidDel="00000000" w:rsidP="00000000" w:rsidRDefault="00000000" w:rsidRPr="00000000" w14:paraId="0000001D">
      <w:pPr>
        <w:spacing w:after="120" w:before="120" w:line="360" w:lineRule="auto"/>
        <w:rPr>
          <w:rFonts w:ascii="Arial" w:cs="Arial" w:eastAsia="Arial" w:hAnsi="Arial"/>
          <w:sz w:val="22"/>
          <w:szCs w:val="22"/>
        </w:rPr>
      </w:pPr>
      <w:hyperlink r:id="rId9">
        <w:r w:rsidDel="00000000" w:rsidR="00000000" w:rsidRPr="00000000">
          <w:rPr>
            <w:rFonts w:ascii="Arial" w:cs="Arial" w:eastAsia="Arial" w:hAnsi="Arial"/>
            <w:color w:val="0000ff"/>
            <w:sz w:val="22"/>
            <w:szCs w:val="22"/>
            <w:u w:val="single"/>
            <w:rtl w:val="0"/>
          </w:rPr>
          <w:t xml:space="preserve">Reporting of Injuries, Diseases and Dangerous Occurrences Regulations 2013 (RIDDOR)</w:t>
        </w:r>
      </w:hyperlink>
      <w:r w:rsidDel="00000000" w:rsidR="00000000" w:rsidRPr="00000000">
        <w:rPr>
          <w:rtl w:val="0"/>
        </w:rPr>
      </w:r>
    </w:p>
    <w:p w:rsidR="00000000" w:rsidDel="00000000" w:rsidP="00000000" w:rsidRDefault="00000000" w:rsidRPr="00000000" w14:paraId="0000001E">
      <w:pPr>
        <w:spacing w:after="120" w:before="120" w:line="360" w:lineRule="auto"/>
        <w:rPr>
          <w:rFonts w:ascii="Arial" w:cs="Arial" w:eastAsia="Arial" w:hAnsi="Arial"/>
          <w:sz w:val="22"/>
          <w:szCs w:val="22"/>
        </w:rPr>
      </w:pPr>
      <w:hyperlink r:id="rId10">
        <w:r w:rsidDel="00000000" w:rsidR="00000000" w:rsidRPr="00000000">
          <w:rPr>
            <w:rFonts w:ascii="Arial" w:cs="Arial" w:eastAsia="Arial" w:hAnsi="Arial"/>
            <w:color w:val="0000ff"/>
            <w:sz w:val="22"/>
            <w:szCs w:val="22"/>
            <w:u w:val="single"/>
            <w:rtl w:val="0"/>
          </w:rPr>
          <w:t xml:space="preserve">Control of Substances Hazardous to Health (COSHH) Regulations (2002) </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F">
      <w:pPr>
        <w:spacing w:after="120" w:before="120" w:line="360" w:lineRule="auto"/>
        <w:rPr>
          <w:rFonts w:ascii="Arial" w:cs="Arial" w:eastAsia="Arial" w:hAnsi="Arial"/>
          <w:sz w:val="22"/>
          <w:szCs w:val="22"/>
        </w:rPr>
      </w:pPr>
      <w:hyperlink r:id="rId11">
        <w:r w:rsidDel="00000000" w:rsidR="00000000" w:rsidRPr="00000000">
          <w:rPr>
            <w:rFonts w:ascii="Arial" w:cs="Arial" w:eastAsia="Arial" w:hAnsi="Arial"/>
            <w:color w:val="0000ff"/>
            <w:sz w:val="22"/>
            <w:szCs w:val="22"/>
            <w:u w:val="single"/>
            <w:rtl w:val="0"/>
          </w:rPr>
          <w:t xml:space="preserve">Health and Safety (First Aid) Regulations 1981</w:t>
        </w:r>
      </w:hyperlink>
      <w:r w:rsidDel="00000000" w:rsidR="00000000" w:rsidRPr="00000000">
        <w:rPr>
          <w:rtl w:val="0"/>
        </w:rPr>
      </w:r>
    </w:p>
    <w:p w:rsidR="00000000" w:rsidDel="00000000" w:rsidP="00000000" w:rsidRDefault="00000000" w:rsidRPr="00000000" w14:paraId="00000020">
      <w:pPr>
        <w:spacing w:after="120" w:before="120" w:line="360" w:lineRule="auto"/>
        <w:rPr>
          <w:rFonts w:ascii="Arial" w:cs="Arial" w:eastAsia="Arial" w:hAnsi="Arial"/>
          <w:sz w:val="22"/>
          <w:szCs w:val="22"/>
        </w:rPr>
      </w:pPr>
      <w:hyperlink r:id="rId12">
        <w:r w:rsidDel="00000000" w:rsidR="00000000" w:rsidRPr="00000000">
          <w:rPr>
            <w:rFonts w:ascii="Arial" w:cs="Arial" w:eastAsia="Arial" w:hAnsi="Arial"/>
            <w:color w:val="0000ff"/>
            <w:sz w:val="22"/>
            <w:szCs w:val="22"/>
            <w:u w:val="single"/>
            <w:rtl w:val="0"/>
          </w:rPr>
          <w:t xml:space="preserve">Food Information Regulations 2014</w:t>
        </w:r>
      </w:hyperlink>
      <w:r w:rsidDel="00000000" w:rsidR="00000000" w:rsidRPr="00000000">
        <w:rPr>
          <w:rtl w:val="0"/>
        </w:rPr>
      </w:r>
    </w:p>
    <w:p w:rsidR="00000000" w:rsidDel="00000000" w:rsidP="00000000" w:rsidRDefault="00000000" w:rsidRPr="00000000" w14:paraId="00000021">
      <w:pPr>
        <w:spacing w:after="120" w:before="120" w:line="360" w:lineRule="auto"/>
        <w:rPr>
          <w:rFonts w:ascii="Arial" w:cs="Arial" w:eastAsia="Arial" w:hAnsi="Arial"/>
          <w:color w:val="ff0000"/>
          <w:sz w:val="22"/>
          <w:szCs w:val="22"/>
        </w:rPr>
      </w:pPr>
      <w:hyperlink r:id="rId13">
        <w:r w:rsidDel="00000000" w:rsidR="00000000" w:rsidRPr="00000000">
          <w:rPr>
            <w:rFonts w:ascii="Arial" w:cs="Arial" w:eastAsia="Arial" w:hAnsi="Arial"/>
            <w:color w:val="0000ff"/>
            <w:sz w:val="22"/>
            <w:szCs w:val="22"/>
            <w:u w:val="single"/>
            <w:rtl w:val="0"/>
          </w:rPr>
          <w:t xml:space="preserve">Early Years Foundation Stage 2025</w:t>
        </w:r>
      </w:hyperlink>
      <w:r w:rsidDel="00000000" w:rsidR="00000000" w:rsidRPr="00000000">
        <w:rPr>
          <w:rtl w:val="0"/>
        </w:rPr>
      </w:r>
    </w:p>
    <w:p w:rsidR="00000000" w:rsidDel="00000000" w:rsidP="00000000" w:rsidRDefault="00000000" w:rsidRPr="00000000" w14:paraId="00000022">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23">
      <w:pPr>
        <w:tabs>
          <w:tab w:val="left" w:leader="none" w:pos="1440"/>
        </w:tabs>
        <w:spacing w:after="120" w:before="120" w:line="360" w:lineRule="auto"/>
        <w:ind w:left="2160" w:hanging="2160"/>
        <w:rPr>
          <w:rFonts w:ascii="Arial" w:cs="Arial" w:eastAsia="Arial" w:hAnsi="Arial"/>
          <w:sz w:val="22"/>
          <w:szCs w:val="22"/>
        </w:rPr>
      </w:pPr>
      <w:hyperlink r:id="rId14">
        <w:r w:rsidDel="00000000" w:rsidR="00000000" w:rsidRPr="00000000">
          <w:rPr>
            <w:rFonts w:ascii="Arial" w:cs="Arial" w:eastAsia="Arial" w:hAnsi="Arial"/>
            <w:color w:val="0000ff"/>
            <w:sz w:val="22"/>
            <w:szCs w:val="22"/>
            <w:u w:val="single"/>
            <w:rtl w:val="0"/>
          </w:rPr>
          <w:t xml:space="preserve">Accident Record</w:t>
        </w:r>
      </w:hyperlink>
      <w:r w:rsidDel="00000000" w:rsidR="00000000" w:rsidRPr="00000000">
        <w:rPr>
          <w:rFonts w:ascii="Arial" w:cs="Arial" w:eastAsia="Arial" w:hAnsi="Arial"/>
          <w:sz w:val="22"/>
          <w:szCs w:val="22"/>
          <w:rtl w:val="0"/>
        </w:rPr>
        <w:t xml:space="preserve"> (Alliance Publication)</w:t>
      </w:r>
    </w:p>
    <w:p w:rsidR="00000000" w:rsidDel="00000000" w:rsidP="00000000" w:rsidRDefault="00000000" w:rsidRPr="00000000" w14:paraId="00000024">
      <w:pPr>
        <w:tabs>
          <w:tab w:val="left" w:leader="none" w:pos="1440"/>
        </w:tabs>
        <w:spacing w:after="120" w:before="120" w:line="360" w:lineRule="auto"/>
        <w:ind w:left="2160" w:hanging="2160"/>
        <w:rPr>
          <w:b w:val="1"/>
          <w:color w:val="ff0000"/>
        </w:rPr>
      </w:pPr>
      <w:hyperlink r:id="rId15">
        <w:r w:rsidDel="00000000" w:rsidR="00000000" w:rsidRPr="00000000">
          <w:rPr>
            <w:rFonts w:ascii="Arial" w:cs="Arial" w:eastAsia="Arial" w:hAnsi="Arial"/>
            <w:b w:val="1"/>
            <w:color w:val="ff0000"/>
            <w:sz w:val="22"/>
            <w:szCs w:val="22"/>
            <w:u w:val="single"/>
            <w:rtl w:val="0"/>
          </w:rPr>
          <w:t xml:space="preserve">Allergy action plan</w:t>
        </w:r>
      </w:hyperlink>
      <w:r w:rsidDel="00000000" w:rsidR="00000000" w:rsidRPr="00000000">
        <w:rPr>
          <w:rtl w:val="0"/>
        </w:rPr>
      </w:r>
    </w:p>
    <w:sectPr>
      <w:headerReference r:id="rId16" w:type="default"/>
      <w:footerReference r:id="rId1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025/26</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(Early Years Alliance 20</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25</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ff0000"/>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9">
    <w:name w:val="heading 9"/>
    <w:basedOn w:val="Normal"/>
    <w:next w:val="Normal"/>
    <w:link w:val="Heading9Char"/>
    <w:uiPriority w:val="9"/>
    <w:semiHidden w:val="1"/>
    <w:unhideWhenUsed w:val="1"/>
    <w:qFormat w:val="1"/>
    <w:rsid w:val="009D08F3"/>
    <w:pPr>
      <w:keepNext w:val="1"/>
      <w:keepLines w:val="1"/>
      <w:spacing w:before="200"/>
      <w:outlineLvl w:val="8"/>
    </w:pPr>
    <w:rPr>
      <w:rFonts w:ascii="Cambria" w:hAnsi="Cambria"/>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AC7BC8"/>
    <w:rPr>
      <w:rFonts w:eastAsia="Times New Roman"/>
      <w:b w:val="1"/>
      <w:bCs w:val="1"/>
      <w:kern w:val="32"/>
      <w:sz w:val="32"/>
      <w:szCs w:val="32"/>
    </w:rPr>
  </w:style>
  <w:style w:type="character" w:styleId="Hyperlink">
    <w:name w:val="Hyperlink"/>
    <w:basedOn w:val="DefaultParagraphFont"/>
    <w:semiHidden w:val="1"/>
    <w:rsid w:val="00AC7BC8"/>
    <w:rPr>
      <w:color w:val="0000ff"/>
      <w:u w:val="single"/>
    </w:rPr>
  </w:style>
  <w:style w:type="paragraph" w:styleId="BodyText3">
    <w:name w:val="Body Text 3"/>
    <w:basedOn w:val="Normal"/>
    <w:link w:val="BodyText3Char"/>
    <w:uiPriority w:val="99"/>
    <w:unhideWhenUsed w:val="1"/>
    <w:rsid w:val="00AC7BC8"/>
    <w:pPr>
      <w:spacing w:after="120"/>
    </w:pPr>
    <w:rPr>
      <w:sz w:val="16"/>
      <w:szCs w:val="16"/>
    </w:rPr>
  </w:style>
  <w:style w:type="character" w:styleId="BodyText3Char" w:customStyle="1">
    <w:name w:val="Body Text 3 Char"/>
    <w:basedOn w:val="DefaultParagraphFont"/>
    <w:link w:val="BodyText3"/>
    <w:uiPriority w:val="99"/>
    <w:rsid w:val="00AC7BC8"/>
    <w:rPr>
      <w:rFonts w:ascii="Times New Roman" w:cs="Times New Roman" w:eastAsia="Times New Roman" w:hAnsi="Times New Roman"/>
      <w:sz w:val="16"/>
      <w:szCs w:val="16"/>
    </w:rPr>
  </w:style>
  <w:style w:type="paragraph" w:styleId="ListParagraph">
    <w:name w:val="List Paragraph"/>
    <w:basedOn w:val="Normal"/>
    <w:uiPriority w:val="34"/>
    <w:qFormat w:val="1"/>
    <w:rsid w:val="00AC7BC8"/>
    <w:pPr>
      <w:ind w:left="720"/>
      <w:contextualSpacing w:val="1"/>
    </w:pPr>
  </w:style>
  <w:style w:type="paragraph" w:styleId="Header">
    <w:name w:val="header"/>
    <w:basedOn w:val="Normal"/>
    <w:link w:val="HeaderChar"/>
    <w:uiPriority w:val="99"/>
    <w:unhideWhenUsed w:val="1"/>
    <w:rsid w:val="00E07382"/>
    <w:pPr>
      <w:tabs>
        <w:tab w:val="center" w:pos="4513"/>
        <w:tab w:val="right" w:pos="9026"/>
      </w:tabs>
    </w:pPr>
  </w:style>
  <w:style w:type="character" w:styleId="HeaderChar" w:customStyle="1">
    <w:name w:val="Header Char"/>
    <w:basedOn w:val="DefaultParagraphFont"/>
    <w:link w:val="Header"/>
    <w:uiPriority w:val="99"/>
    <w:rsid w:val="00E07382"/>
    <w:rPr>
      <w:rFonts w:ascii="Times New Roman" w:cs="Times New Roman" w:eastAsia="Times New Roman" w:hAnsi="Times New Roman"/>
      <w:sz w:val="24"/>
    </w:rPr>
  </w:style>
  <w:style w:type="paragraph" w:styleId="Footer">
    <w:name w:val="footer"/>
    <w:basedOn w:val="Normal"/>
    <w:link w:val="FooterChar"/>
    <w:uiPriority w:val="99"/>
    <w:unhideWhenUsed w:val="1"/>
    <w:rsid w:val="00E07382"/>
    <w:pPr>
      <w:tabs>
        <w:tab w:val="center" w:pos="4513"/>
        <w:tab w:val="right" w:pos="9026"/>
      </w:tabs>
    </w:pPr>
  </w:style>
  <w:style w:type="character" w:styleId="FooterChar" w:customStyle="1">
    <w:name w:val="Footer Char"/>
    <w:basedOn w:val="DefaultParagraphFont"/>
    <w:link w:val="Footer"/>
    <w:uiPriority w:val="99"/>
    <w:rsid w:val="00E0738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E0738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07382"/>
    <w:rPr>
      <w:rFonts w:ascii="Tahoma" w:cs="Tahoma" w:eastAsia="Times New Roman" w:hAnsi="Tahoma"/>
      <w:sz w:val="16"/>
      <w:szCs w:val="16"/>
    </w:rPr>
  </w:style>
  <w:style w:type="character" w:styleId="Heading2Char" w:customStyle="1">
    <w:name w:val="Heading 2 Char"/>
    <w:basedOn w:val="DefaultParagraphFont"/>
    <w:link w:val="Heading2"/>
    <w:uiPriority w:val="9"/>
    <w:rsid w:val="009D08F3"/>
    <w:rPr>
      <w:rFonts w:ascii="Cambria" w:cs="Times New Roman" w:eastAsia="Times New Roman" w:hAnsi="Cambria"/>
      <w:b w:val="1"/>
      <w:bCs w:val="1"/>
      <w:color w:val="4f81bd"/>
      <w:sz w:val="26"/>
      <w:szCs w:val="26"/>
    </w:rPr>
  </w:style>
  <w:style w:type="character" w:styleId="Heading6Char" w:customStyle="1">
    <w:name w:val="Heading 6 Char"/>
    <w:basedOn w:val="DefaultParagraphFont"/>
    <w:link w:val="Heading6"/>
    <w:uiPriority w:val="9"/>
    <w:rsid w:val="009D08F3"/>
    <w:rPr>
      <w:rFonts w:ascii="Cambria" w:cs="Times New Roman" w:eastAsia="Times New Roman" w:hAnsi="Cambria"/>
      <w:i w:val="1"/>
      <w:iCs w:val="1"/>
      <w:color w:val="243f60"/>
      <w:sz w:val="24"/>
    </w:rPr>
  </w:style>
  <w:style w:type="character" w:styleId="Strong">
    <w:name w:val="Strong"/>
    <w:basedOn w:val="DefaultParagraphFont"/>
    <w:qFormat w:val="1"/>
    <w:rsid w:val="009D08F3"/>
    <w:rPr>
      <w:b w:val="1"/>
    </w:rPr>
  </w:style>
  <w:style w:type="character" w:styleId="Heading3Char" w:customStyle="1">
    <w:name w:val="Heading 3 Char"/>
    <w:basedOn w:val="DefaultParagraphFont"/>
    <w:link w:val="Heading3"/>
    <w:uiPriority w:val="9"/>
    <w:rsid w:val="009D08F3"/>
    <w:rPr>
      <w:rFonts w:ascii="Cambria" w:cs="Times New Roman" w:eastAsia="Times New Roman" w:hAnsi="Cambria"/>
      <w:b w:val="1"/>
      <w:bCs w:val="1"/>
      <w:color w:val="4f81bd"/>
      <w:sz w:val="24"/>
    </w:rPr>
  </w:style>
  <w:style w:type="paragraph" w:styleId="BodyText">
    <w:name w:val="Body Text"/>
    <w:basedOn w:val="Normal"/>
    <w:link w:val="BodyTextChar"/>
    <w:uiPriority w:val="99"/>
    <w:unhideWhenUsed w:val="1"/>
    <w:rsid w:val="009D08F3"/>
    <w:pPr>
      <w:spacing w:after="120"/>
    </w:pPr>
  </w:style>
  <w:style w:type="character" w:styleId="BodyTextChar" w:customStyle="1">
    <w:name w:val="Body Text Char"/>
    <w:basedOn w:val="DefaultParagraphFont"/>
    <w:link w:val="BodyText"/>
    <w:uiPriority w:val="99"/>
    <w:rsid w:val="009D08F3"/>
    <w:rPr>
      <w:rFonts w:ascii="Times New Roman" w:cs="Times New Roman" w:eastAsia="Times New Roman" w:hAnsi="Times New Roman"/>
      <w:sz w:val="24"/>
    </w:rPr>
  </w:style>
  <w:style w:type="character" w:styleId="Heading4Char" w:customStyle="1">
    <w:name w:val="Heading 4 Char"/>
    <w:basedOn w:val="DefaultParagraphFont"/>
    <w:link w:val="Heading4"/>
    <w:uiPriority w:val="9"/>
    <w:semiHidden w:val="1"/>
    <w:rsid w:val="009D08F3"/>
    <w:rPr>
      <w:rFonts w:ascii="Cambria" w:cs="Times New Roman" w:eastAsia="Times New Roman" w:hAnsi="Cambria"/>
      <w:b w:val="1"/>
      <w:bCs w:val="1"/>
      <w:i w:val="1"/>
      <w:iCs w:val="1"/>
      <w:color w:val="4f81bd"/>
      <w:sz w:val="24"/>
    </w:rPr>
  </w:style>
  <w:style w:type="character" w:styleId="Heading9Char" w:customStyle="1">
    <w:name w:val="Heading 9 Char"/>
    <w:basedOn w:val="DefaultParagraphFont"/>
    <w:link w:val="Heading9"/>
    <w:uiPriority w:val="9"/>
    <w:semiHidden w:val="1"/>
    <w:rsid w:val="009D08F3"/>
    <w:rPr>
      <w:rFonts w:ascii="Cambria" w:cs="Times New Roman" w:eastAsia="Times New Roman" w:hAnsi="Cambria"/>
      <w:i w:val="1"/>
      <w:iCs w:val="1"/>
      <w:color w:val="404040"/>
      <w:sz w:val="20"/>
      <w:szCs w:val="20"/>
    </w:rPr>
  </w:style>
  <w:style w:type="paragraph" w:styleId="BodyTextIndent3">
    <w:name w:val="Body Text Indent 3"/>
    <w:basedOn w:val="Normal"/>
    <w:link w:val="BodyTextIndent3Char"/>
    <w:uiPriority w:val="99"/>
    <w:semiHidden w:val="1"/>
    <w:unhideWhenUsed w:val="1"/>
    <w:rsid w:val="009D08F3"/>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9D08F3"/>
    <w:rPr>
      <w:rFonts w:ascii="Times New Roman" w:cs="Times New Roman" w:eastAsia="Times New Roman" w:hAnsi="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styleId="FootnoteTextChar" w:customStyle="1">
    <w:name w:val="Footnote Text Char"/>
    <w:basedOn w:val="DefaultParagraphFont"/>
    <w:link w:val="FootnoteText"/>
    <w:uiPriority w:val="99"/>
    <w:rsid w:val="003C4CA0"/>
    <w:rPr>
      <w:rFonts w:ascii="Tahoma" w:cs="Times New Roman" w:eastAsia="Times New Roman" w:hAnsi="Tahoma"/>
      <w:color w:val="000000"/>
    </w:rPr>
  </w:style>
  <w:style w:type="character" w:styleId="FollowedHyperlink">
    <w:name w:val="FollowedHyperlink"/>
    <w:basedOn w:val="DefaultParagraphFont"/>
    <w:uiPriority w:val="99"/>
    <w:semiHidden w:val="1"/>
    <w:unhideWhenUsed w:val="1"/>
    <w:rsid w:val="00D95538"/>
    <w:rPr>
      <w:color w:val="954f72" w:themeColor="followedHyperlink"/>
      <w:u w:val="single"/>
    </w:rPr>
  </w:style>
  <w:style w:type="character" w:styleId="UnresolvedMention">
    <w:name w:val="Unresolved Mention"/>
    <w:basedOn w:val="DefaultParagraphFont"/>
    <w:uiPriority w:val="99"/>
    <w:semiHidden w:val="1"/>
    <w:unhideWhenUsed w:val="1"/>
    <w:rsid w:val="00C5446F"/>
    <w:rPr>
      <w:color w:val="605e5c"/>
      <w:shd w:color="auto" w:fill="e1dfdd" w:val="clear"/>
    </w:rPr>
  </w:style>
  <w:style w:type="paragraph" w:styleId="Revision">
    <w:name w:val="Revision"/>
    <w:hidden w:val="1"/>
    <w:uiPriority w:val="71"/>
    <w:semiHidden w:val="1"/>
    <w:rsid w:val="00C5446F"/>
    <w:rPr>
      <w:rFonts w:ascii="Times New Roman" w:cs="Times New Roman" w:eastAsia="Times New Roman" w:hAnsi="Times New Roman"/>
      <w:sz w:val="24"/>
      <w:szCs w:val="24"/>
      <w:lang w:eastAsia="en-US"/>
    </w:rPr>
  </w:style>
  <w:style w:type="character" w:styleId="CommentReference">
    <w:name w:val="annotation reference"/>
    <w:basedOn w:val="DefaultParagraphFont"/>
    <w:uiPriority w:val="99"/>
    <w:semiHidden w:val="1"/>
    <w:unhideWhenUsed w:val="1"/>
    <w:rsid w:val="00B37851"/>
    <w:rPr>
      <w:sz w:val="16"/>
      <w:szCs w:val="16"/>
    </w:rPr>
  </w:style>
  <w:style w:type="paragraph" w:styleId="CommentText">
    <w:name w:val="annotation text"/>
    <w:basedOn w:val="Normal"/>
    <w:link w:val="CommentTextChar"/>
    <w:uiPriority w:val="99"/>
    <w:semiHidden w:val="1"/>
    <w:unhideWhenUsed w:val="1"/>
    <w:rsid w:val="00B37851"/>
    <w:rPr>
      <w:sz w:val="20"/>
      <w:szCs w:val="20"/>
    </w:rPr>
  </w:style>
  <w:style w:type="character" w:styleId="CommentTextChar" w:customStyle="1">
    <w:name w:val="Comment Text Char"/>
    <w:basedOn w:val="DefaultParagraphFont"/>
    <w:link w:val="CommentText"/>
    <w:uiPriority w:val="99"/>
    <w:semiHidden w:val="1"/>
    <w:rsid w:val="00B37851"/>
    <w:rPr>
      <w:rFonts w:ascii="Times New Roman" w:cs="Times New Roman" w:eastAsia="Times New Roman" w:hAnsi="Times New Roman"/>
      <w:lang w:eastAsia="en-US"/>
    </w:rPr>
  </w:style>
  <w:style w:type="paragraph" w:styleId="CommentSubject">
    <w:name w:val="annotation subject"/>
    <w:basedOn w:val="CommentText"/>
    <w:next w:val="CommentText"/>
    <w:link w:val="CommentSubjectChar"/>
    <w:uiPriority w:val="99"/>
    <w:semiHidden w:val="1"/>
    <w:unhideWhenUsed w:val="1"/>
    <w:rsid w:val="00B37851"/>
    <w:rPr>
      <w:b w:val="1"/>
      <w:bCs w:val="1"/>
    </w:rPr>
  </w:style>
  <w:style w:type="character" w:styleId="CommentSubjectChar" w:customStyle="1">
    <w:name w:val="Comment Subject Char"/>
    <w:basedOn w:val="CommentTextChar"/>
    <w:link w:val="CommentSubject"/>
    <w:uiPriority w:val="99"/>
    <w:semiHidden w:val="1"/>
    <w:rsid w:val="00B37851"/>
    <w:rPr>
      <w:rFonts w:ascii="Times New Roman" w:cs="Times New Roman" w:eastAsia="Times New Roman" w:hAnsi="Times New Roman"/>
      <w:b w:val="1"/>
      <w:bCs w:val="1"/>
      <w:lang w:eastAsia="en-US"/>
    </w:rPr>
  </w:style>
  <w:style w:type="table" w:styleId="TableGrid">
    <w:name w:val="Table Grid"/>
    <w:basedOn w:val="TableNormal"/>
    <w:uiPriority w:val="59"/>
    <w:rsid w:val="00287D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tion.gov.uk/uksi/1981/917/regulation/3" TargetMode="External"/><Relationship Id="rId10" Type="http://schemas.openxmlformats.org/officeDocument/2006/relationships/hyperlink" Target="https://www.legislation.gov.uk/uksi/2002/2677/regulation/7" TargetMode="External"/><Relationship Id="rId13" Type="http://schemas.openxmlformats.org/officeDocument/2006/relationships/hyperlink" Target="https://www.gov.uk/government/publications/early-years-foundation-stage-framework--2" TargetMode="External"/><Relationship Id="rId12" Type="http://schemas.openxmlformats.org/officeDocument/2006/relationships/hyperlink" Target="https://www.legislation.gov.uk/uksi/2014/1855/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https://www.bsaci.org/wp-content/uploads/2020/02/BSACIAllergyActionPlan2018NoAAI2981-2.pdf" TargetMode="External"/><Relationship Id="rId14"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legislation.gov.uk/ukpga/1968/6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4HRMPw1vfkrFDtK7M0ssdVwkA==">CgMxLjA4AHIhMWE3Q05MOHA3T3hnNVJtNzE3MTQxclNOZ2p2QTZSSFhk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2024-01-02T15:55:00.0000000Z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