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b w:val="1"/>
          <w:bCs w:val="1"/>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01</w:t>
        <w:tab/>
        <w:t xml:space="preserve">Health and safety policy</w:t>
      </w:r>
    </w:p>
    <w:p w:rsidR="00000000" w:rsidDel="00000000" w:rsidP="00000000" w:rsidRDefault="00000000" w:rsidRPr="00000000" w14:paraId="00000003">
      <w:pPr>
        <w:pStyle w:val="Heading1"/>
        <w:spacing w:after="120" w:before="120" w:line="360" w:lineRule="auto"/>
        <w:rPr>
          <w:b w:val="0"/>
          <w:bCs w:val="0"/>
          <w:sz w:val="24"/>
          <w:szCs w:val="24"/>
        </w:rPr>
      </w:pPr>
      <w:r w:rsidDel="00000000" w:rsidR="00000000" w:rsidRPr="00000000">
        <w:rPr>
          <w:b w:val="0"/>
          <w:bCs w:val="0"/>
          <w:sz w:val="24"/>
          <w:szCs w:val="24"/>
          <w:rtl w:val="0"/>
        </w:rPr>
        <w:t xml:space="preserve">Alongside associated procedures in 01.1 to 01.22 Health and safety, this policy was adopted by Early Explorers Community Pre-Schools on 1st September 2026</w:t>
      </w:r>
    </w:p>
    <w:p w:rsidR="00000000" w:rsidDel="00000000" w:rsidP="00000000" w:rsidRDefault="00000000" w:rsidRPr="00000000" w14:paraId="00000004">
      <w:pPr>
        <w:pStyle w:val="Heading1"/>
        <w:spacing w:after="120" w:before="120" w:line="360" w:lineRule="auto"/>
        <w:rPr>
          <w:b w:val="0"/>
          <w:bCs w:val="0"/>
          <w:sz w:val="24"/>
          <w:szCs w:val="24"/>
        </w:rPr>
      </w:pPr>
      <w:r w:rsidDel="00000000" w:rsidR="00000000" w:rsidRPr="00000000">
        <w:rPr>
          <w:sz w:val="24"/>
          <w:szCs w:val="24"/>
          <w:rtl w:val="0"/>
        </w:rPr>
        <w:t xml:space="preserve">Designated Health and Safety Officer: </w:t>
      </w:r>
      <w:r w:rsidDel="00000000" w:rsidR="00000000" w:rsidRPr="00000000">
        <w:rPr>
          <w:b w:val="0"/>
          <w:bCs w:val="0"/>
          <w:sz w:val="24"/>
          <w:szCs w:val="24"/>
          <w:rtl w:val="0"/>
        </w:rPr>
        <w:t xml:space="preserve">Setting Manager</w:t>
      </w:r>
    </w:p>
    <w:p w:rsidR="00000000" w:rsidDel="00000000" w:rsidP="00000000" w:rsidRDefault="00000000" w:rsidRPr="00000000" w14:paraId="00000005">
      <w:pPr>
        <w:pStyle w:val="Heading1"/>
        <w:spacing w:after="120" w:before="120" w:line="360" w:lineRule="auto"/>
        <w:rPr>
          <w:sz w:val="24"/>
          <w:szCs w:val="24"/>
        </w:rPr>
      </w:pPr>
      <w:r w:rsidDel="00000000" w:rsidR="00000000" w:rsidRPr="00000000">
        <w:rPr>
          <w:sz w:val="24"/>
          <w:szCs w:val="24"/>
          <w:rtl w:val="0"/>
        </w:rPr>
        <w:t xml:space="preserve">Aim</w:t>
      </w:r>
    </w:p>
    <w:p w:rsidR="00000000" w:rsidDel="00000000" w:rsidP="00000000" w:rsidRDefault="00000000" w:rsidRPr="00000000" w14:paraId="00000006">
      <w:pPr>
        <w:spacing w:after="120" w:before="120" w:line="360" w:lineRule="auto"/>
        <w:rPr>
          <w:rFonts w:ascii="Arial" w:cs="Arial" w:eastAsia="Arial" w:hAnsi="Arial"/>
        </w:rPr>
      </w:pPr>
      <w:r w:rsidDel="00000000" w:rsidR="00000000" w:rsidRPr="00000000">
        <w:rPr>
          <w:rFonts w:ascii="Arial" w:cs="Arial" w:eastAsia="Arial" w:hAnsi="Arial"/>
          <w:rtl w:val="0"/>
        </w:rPr>
        <w:t xml:space="preserve">Early Explorers Community Pre-Schools</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are suitable, clean and safe places for children to be cared for, where they can grow and learn. We meet all statutory requirements for health and safety and fulfil the criteria for meeting the Early Years Foundation Stage Safeguarding and Welfare Requirements.</w:t>
      </w:r>
    </w:p>
    <w:p w:rsidR="00000000" w:rsidDel="00000000" w:rsidP="00000000" w:rsidRDefault="00000000" w:rsidRPr="00000000" w14:paraId="00000007">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Objectives </w:t>
      </w:r>
    </w:p>
    <w:p w:rsidR="00000000" w:rsidDel="00000000" w:rsidP="00000000" w:rsidRDefault="00000000" w:rsidRPr="00000000" w14:paraId="00000008">
      <w:pPr>
        <w:numPr>
          <w:ilvl w:val="0"/>
          <w:numId w:val="1"/>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We recognise that we have a corporate responsibility and duty of care towards those who work in and receive a service from our provision. Individual staff and service users of Early Explorers Community Pre-Schools also have responsibility for ensuring their own safety as well as that of others. Adherence to policies and procedures and risk assessment is the key means through which this is achieved.</w:t>
      </w:r>
    </w:p>
    <w:p w:rsidR="00000000" w:rsidDel="00000000" w:rsidP="00000000" w:rsidRDefault="00000000" w:rsidRPr="00000000" w14:paraId="00000009">
      <w:pPr>
        <w:numPr>
          <w:ilvl w:val="0"/>
          <w:numId w:val="1"/>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Insurance is in place (including public liability) and an up-to-date certificate is always displayed.</w:t>
      </w:r>
    </w:p>
    <w:p w:rsidR="00000000" w:rsidDel="00000000" w:rsidP="00000000" w:rsidRDefault="00000000" w:rsidRPr="00000000" w14:paraId="0000000A">
      <w:pPr>
        <w:numPr>
          <w:ilvl w:val="0"/>
          <w:numId w:val="1"/>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Risk assessment is carried out where it is helpful to do so, to ensure the safety of children, staff, parents, and visitors. Legislation requires all those individuals in the given workplace to be responsible for the health and safety of premises, equipment and working practices. </w:t>
      </w:r>
    </w:p>
    <w:p w:rsidR="00000000" w:rsidDel="00000000" w:rsidP="00000000" w:rsidRDefault="00000000" w:rsidRPr="00000000" w14:paraId="0000000B">
      <w:pPr>
        <w:numPr>
          <w:ilvl w:val="0"/>
          <w:numId w:val="1"/>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Smoking and vaping are not allowed on the premises, both indoors and outdoors. If children use any public space that has been used for smoking or vaping, members of staff ensure that there is adequate ventilation to clear the atmosphere. Staff do not smoke or vape in their work clothes and are requested not to smoke or vape within at least one hour of working with children. The use of electronic cigarettes is not allowed on the premises.</w:t>
      </w:r>
    </w:p>
    <w:p w:rsidR="00000000" w:rsidDel="00000000" w:rsidP="00000000" w:rsidRDefault="00000000" w:rsidRPr="00000000" w14:paraId="0000000C">
      <w:pPr>
        <w:numPr>
          <w:ilvl w:val="0"/>
          <w:numId w:val="1"/>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Staff must not be under the influence of alcohol or any other substance which may affect their ability to care for children. If staff are taking medication that they believe may impair them, they must</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seek further medical advice and only work directly with children if that advice is that the medication is unlikely to impair their ability to look after children. The setting manager must be informed.</w:t>
      </w:r>
    </w:p>
    <w:p w:rsidR="00000000" w:rsidDel="00000000" w:rsidP="00000000" w:rsidRDefault="00000000" w:rsidRPr="00000000" w14:paraId="0000000D">
      <w:pPr>
        <w:numPr>
          <w:ilvl w:val="0"/>
          <w:numId w:val="1"/>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Alcohol must not be bought onto the premises for consumption. </w:t>
      </w:r>
    </w:p>
    <w:p w:rsidR="00000000" w:rsidDel="00000000" w:rsidP="00000000" w:rsidRDefault="00000000" w:rsidRPr="00000000" w14:paraId="0000000E">
      <w:pPr>
        <w:numPr>
          <w:ilvl w:val="0"/>
          <w:numId w:val="2"/>
        </w:numPr>
        <w:spacing w:after="120" w:before="120" w:line="360" w:lineRule="auto"/>
        <w:ind w:left="360" w:hanging="360"/>
        <w:rPr>
          <w:rFonts w:ascii="Arial" w:cs="Arial" w:eastAsia="Arial" w:hAnsi="Arial"/>
        </w:rPr>
      </w:pPr>
      <w:r w:rsidDel="00000000" w:rsidR="00000000" w:rsidRPr="00000000">
        <w:rPr>
          <w:rFonts w:ascii="Arial" w:cs="Arial" w:eastAsia="Arial" w:hAnsi="Arial"/>
          <w:rtl w:val="0"/>
        </w:rPr>
        <w:t xml:space="preserve">A risk assessment and access audits are carried out for each area as required and the procedure is modified according to needs identified for the specific environment.</w:t>
      </w:r>
    </w:p>
    <w:p w:rsidR="00000000" w:rsidDel="00000000" w:rsidP="00000000" w:rsidRDefault="00000000" w:rsidRPr="00000000" w14:paraId="0000000F">
      <w:pPr>
        <w:numPr>
          <w:ilvl w:val="0"/>
          <w:numId w:val="2"/>
        </w:numPr>
        <w:spacing w:after="120" w:before="120" w:line="360" w:lineRule="auto"/>
        <w:ind w:left="360" w:hanging="360"/>
        <w:rPr>
          <w:rFonts w:ascii="Arial" w:cs="Arial" w:eastAsia="Arial" w:hAnsi="Arial"/>
          <w:b w:val="1"/>
          <w:bCs w:val="1"/>
        </w:rPr>
      </w:pPr>
      <w:r w:rsidDel="00000000" w:rsidR="00000000" w:rsidRPr="00000000">
        <w:rPr>
          <w:rFonts w:ascii="Arial" w:cs="Arial" w:eastAsia="Arial" w:hAnsi="Arial"/>
          <w:rtl w:val="0"/>
        </w:rPr>
        <w:t xml:space="preserve">Risk assessments are monitored and reviewed by those responsible for health and safety.</w:t>
      </w:r>
      <w:r w:rsidDel="00000000" w:rsidR="00000000" w:rsidRPr="00000000">
        <w:rPr>
          <w:rtl w:val="0"/>
        </w:rPr>
      </w:r>
    </w:p>
    <w:p w:rsidR="00000000" w:rsidDel="00000000" w:rsidP="00000000" w:rsidRDefault="00000000" w:rsidRPr="00000000" w14:paraId="00000010">
      <w:pPr>
        <w:pStyle w:val="Heading6"/>
        <w:spacing w:after="120" w:before="120" w:line="360" w:lineRule="auto"/>
        <w:rPr>
          <w:rFonts w:ascii="Arial" w:cs="Arial" w:eastAsia="Arial" w:hAnsi="Arial"/>
          <w:b w:val="1"/>
          <w:bCs w:val="1"/>
          <w:i w:val="0"/>
          <w:iCs w:val="0"/>
          <w:color w:val="000000"/>
        </w:rPr>
      </w:pPr>
      <w:bookmarkStart w:colFirst="0" w:colLast="0" w:name="_heading=h.n9t6tbwhip2n" w:id="0"/>
      <w:bookmarkEnd w:id="0"/>
      <w:r w:rsidDel="00000000" w:rsidR="00000000" w:rsidRPr="00000000">
        <w:rPr>
          <w:rFonts w:ascii="Arial" w:cs="Arial" w:eastAsia="Arial" w:hAnsi="Arial"/>
          <w:b w:val="1"/>
          <w:bCs w:val="1"/>
          <w:i w:val="0"/>
          <w:iCs w:val="0"/>
          <w:color w:val="000000"/>
          <w:rtl w:val="0"/>
        </w:rPr>
        <w:t xml:space="preserve">Legal references</w:t>
      </w:r>
    </w:p>
    <w:p w:rsidR="00000000" w:rsidDel="00000000" w:rsidP="00000000" w:rsidRDefault="00000000" w:rsidRPr="00000000" w14:paraId="00000011">
      <w:pPr>
        <w:spacing w:after="120" w:before="120" w:line="360" w:lineRule="auto"/>
        <w:rPr>
          <w:rFonts w:ascii="Arial" w:cs="Arial" w:eastAsia="Arial" w:hAnsi="Arial"/>
        </w:rPr>
      </w:pPr>
      <w:r w:rsidDel="00000000" w:rsidR="00000000" w:rsidRPr="00000000">
        <w:rPr>
          <w:rFonts w:ascii="Arial" w:cs="Arial" w:eastAsia="Arial" w:hAnsi="Arial"/>
          <w:rtl w:val="0"/>
        </w:rPr>
        <w:t xml:space="preserve">Health and Safety at Work etc Act 1974</w:t>
      </w:r>
    </w:p>
    <w:p w:rsidR="00000000" w:rsidDel="00000000" w:rsidP="00000000" w:rsidRDefault="00000000" w:rsidRPr="00000000" w14:paraId="00000012">
      <w:pPr>
        <w:spacing w:after="120" w:before="120" w:line="360" w:lineRule="auto"/>
        <w:rPr>
          <w:rFonts w:ascii="Arial" w:cs="Arial" w:eastAsia="Arial" w:hAnsi="Arial"/>
        </w:rPr>
      </w:pPr>
      <w:r w:rsidDel="00000000" w:rsidR="00000000" w:rsidRPr="00000000">
        <w:rPr>
          <w:rFonts w:ascii="Arial" w:cs="Arial" w:eastAsia="Arial" w:hAnsi="Arial"/>
          <w:rtl w:val="0"/>
        </w:rPr>
        <w:t xml:space="preserve">Health and Safety (Consultation with Employees) Regulations 1996</w:t>
      </w:r>
    </w:p>
    <w:p w:rsidR="00000000" w:rsidDel="00000000" w:rsidP="00000000" w:rsidRDefault="00000000" w:rsidRPr="00000000" w14:paraId="00000013">
      <w:pPr>
        <w:spacing w:after="120" w:before="120" w:line="360" w:lineRule="auto"/>
        <w:rPr>
          <w:rFonts w:ascii="Arial" w:cs="Arial" w:eastAsia="Arial" w:hAnsi="Arial"/>
        </w:rPr>
      </w:pPr>
      <w:r w:rsidDel="00000000" w:rsidR="00000000" w:rsidRPr="00000000">
        <w:rPr>
          <w:rFonts w:ascii="Arial" w:cs="Arial" w:eastAsia="Arial" w:hAnsi="Arial"/>
          <w:rtl w:val="0"/>
        </w:rPr>
        <w:t xml:space="preserve">Management of Health and Safety at Work Regulations (1999)</w:t>
      </w:r>
    </w:p>
    <w:p w:rsidR="00000000" w:rsidDel="00000000" w:rsidP="00000000" w:rsidRDefault="00000000" w:rsidRPr="00000000" w14:paraId="00000014">
      <w:pPr>
        <w:spacing w:after="120" w:before="120" w:line="360" w:lineRule="auto"/>
        <w:rPr>
          <w:rFonts w:ascii="Arial" w:cs="Arial" w:eastAsia="Arial" w:hAnsi="Arial"/>
        </w:rPr>
      </w:pPr>
      <w:r w:rsidDel="00000000" w:rsidR="00000000" w:rsidRPr="00000000">
        <w:rPr>
          <w:rFonts w:ascii="Arial" w:cs="Arial" w:eastAsia="Arial" w:hAnsi="Arial"/>
          <w:rtl w:val="0"/>
        </w:rPr>
        <w:t xml:space="preserve">Regulatory Reform (Fire Safety) Order 2005)</w:t>
      </w:r>
    </w:p>
    <w:p w:rsidR="00000000" w:rsidDel="00000000" w:rsidP="00000000" w:rsidRDefault="00000000" w:rsidRPr="00000000" w14:paraId="00000015">
      <w:pPr>
        <w:spacing w:after="120" w:before="120" w:line="360" w:lineRule="auto"/>
        <w:rPr>
          <w:rFonts w:ascii="Arial" w:cs="Arial" w:eastAsia="Arial" w:hAnsi="Arial"/>
        </w:rPr>
      </w:pPr>
      <w:r w:rsidDel="00000000" w:rsidR="00000000" w:rsidRPr="00000000">
        <w:rPr>
          <w:rFonts w:ascii="Arial" w:cs="Arial" w:eastAsia="Arial" w:hAnsi="Arial"/>
          <w:rtl w:val="0"/>
        </w:rPr>
        <w:t xml:space="preserve">Electricity at Work Regulations (1989)</w:t>
      </w:r>
    </w:p>
    <w:p w:rsidR="00000000" w:rsidDel="00000000" w:rsidP="00000000" w:rsidRDefault="00000000" w:rsidRPr="00000000" w14:paraId="00000016">
      <w:pPr>
        <w:spacing w:after="120" w:before="120" w:line="360" w:lineRule="auto"/>
        <w:rPr>
          <w:rFonts w:ascii="Arial" w:cs="Arial" w:eastAsia="Arial" w:hAnsi="Arial"/>
        </w:rPr>
      </w:pPr>
      <w:r w:rsidDel="00000000" w:rsidR="00000000" w:rsidRPr="00000000">
        <w:rPr>
          <w:rFonts w:ascii="Arial" w:cs="Arial" w:eastAsia="Arial" w:hAnsi="Arial"/>
          <w:rtl w:val="0"/>
        </w:rPr>
        <w:t xml:space="preserve">Regulation (EC) No 852/2004 of the European Parliament and of the Council on the hygiene of foodstuffs</w:t>
      </w:r>
    </w:p>
    <w:p w:rsidR="00000000" w:rsidDel="00000000" w:rsidP="00000000" w:rsidRDefault="00000000" w:rsidRPr="00000000" w14:paraId="00000017">
      <w:pPr>
        <w:spacing w:after="120" w:before="120" w:line="360" w:lineRule="auto"/>
        <w:rPr>
          <w:rFonts w:ascii="Arial" w:cs="Arial" w:eastAsia="Arial" w:hAnsi="Arial"/>
        </w:rPr>
      </w:pPr>
      <w:r w:rsidDel="00000000" w:rsidR="00000000" w:rsidRPr="00000000">
        <w:rPr>
          <w:rFonts w:ascii="Arial" w:cs="Arial" w:eastAsia="Arial" w:hAnsi="Arial"/>
          <w:rtl w:val="0"/>
        </w:rPr>
        <w:t xml:space="preserve">Manual Handling Operations Regulations (1992) (Amended 2002)</w:t>
      </w:r>
    </w:p>
    <w:p w:rsidR="00000000" w:rsidDel="00000000" w:rsidP="00000000" w:rsidRDefault="00000000" w:rsidRPr="00000000" w14:paraId="00000018">
      <w:pPr>
        <w:spacing w:after="120" w:before="120" w:line="360" w:lineRule="auto"/>
        <w:rPr>
          <w:rFonts w:ascii="Arial" w:cs="Arial" w:eastAsia="Arial" w:hAnsi="Arial"/>
        </w:rPr>
      </w:pPr>
      <w:r w:rsidDel="00000000" w:rsidR="00000000" w:rsidRPr="00000000">
        <w:rPr>
          <w:rFonts w:ascii="Arial" w:cs="Arial" w:eastAsia="Arial" w:hAnsi="Arial"/>
          <w:rtl w:val="0"/>
        </w:rPr>
        <w:t xml:space="preserve">Medicines Act (1968)</w:t>
      </w:r>
    </w:p>
    <w:p w:rsidR="00000000" w:rsidDel="00000000" w:rsidP="00000000" w:rsidRDefault="00000000" w:rsidRPr="00000000" w14:paraId="00000019">
      <w:pPr>
        <w:spacing w:after="120" w:before="120" w:line="360" w:lineRule="auto"/>
        <w:rPr>
          <w:rFonts w:ascii="Arial" w:cs="Arial" w:eastAsia="Arial" w:hAnsi="Arial"/>
        </w:rPr>
      </w:pPr>
      <w:r w:rsidDel="00000000" w:rsidR="00000000" w:rsidRPr="00000000">
        <w:rPr>
          <w:rFonts w:ascii="Arial" w:cs="Arial" w:eastAsia="Arial" w:hAnsi="Arial"/>
          <w:rtl w:val="0"/>
        </w:rPr>
        <w:t xml:space="preserve">Reporting of Injuries, Diseases and Dangerous Occurrences Regulations (RIDDOR) (Amendment) Regulations 2012</w:t>
      </w:r>
    </w:p>
    <w:p w:rsidR="00000000" w:rsidDel="00000000" w:rsidP="00000000" w:rsidRDefault="00000000" w:rsidRPr="00000000" w14:paraId="0000001A">
      <w:pPr>
        <w:spacing w:after="120" w:before="120" w:line="360" w:lineRule="auto"/>
        <w:rPr>
          <w:rFonts w:ascii="Arial" w:cs="Arial" w:eastAsia="Arial" w:hAnsi="Arial"/>
        </w:rPr>
      </w:pPr>
      <w:r w:rsidDel="00000000" w:rsidR="00000000" w:rsidRPr="00000000">
        <w:rPr>
          <w:rFonts w:ascii="Arial" w:cs="Arial" w:eastAsia="Arial" w:hAnsi="Arial"/>
          <w:rtl w:val="0"/>
        </w:rPr>
        <w:t xml:space="preserve">Control of Substances Hazardous to Health (COSHH) Regulations 2004</w:t>
      </w:r>
    </w:p>
    <w:p w:rsidR="00000000" w:rsidDel="00000000" w:rsidP="00000000" w:rsidRDefault="00000000" w:rsidRPr="00000000" w14:paraId="0000001B">
      <w:pPr>
        <w:spacing w:after="120" w:before="120" w:line="360" w:lineRule="auto"/>
        <w:rPr>
          <w:rFonts w:ascii="Arial" w:cs="Arial" w:eastAsia="Arial" w:hAnsi="Arial"/>
        </w:rPr>
      </w:pPr>
      <w:r w:rsidDel="00000000" w:rsidR="00000000" w:rsidRPr="00000000">
        <w:rPr>
          <w:rFonts w:ascii="Arial" w:cs="Arial" w:eastAsia="Arial" w:hAnsi="Arial"/>
          <w:rtl w:val="0"/>
        </w:rPr>
        <w:t xml:space="preserve">Health and Safety (First Aid) Regulations 1981</w:t>
      </w:r>
    </w:p>
    <w:p w:rsidR="00000000" w:rsidDel="00000000" w:rsidP="00000000" w:rsidRDefault="00000000" w:rsidRPr="00000000" w14:paraId="0000001C">
      <w:pPr>
        <w:spacing w:after="120" w:before="120" w:line="360" w:lineRule="auto"/>
        <w:rPr>
          <w:rFonts w:ascii="Arial" w:cs="Arial" w:eastAsia="Arial" w:hAnsi="Arial"/>
        </w:rPr>
      </w:pPr>
      <w:r w:rsidDel="00000000" w:rsidR="00000000" w:rsidRPr="00000000">
        <w:rPr>
          <w:rFonts w:ascii="Arial" w:cs="Arial" w:eastAsia="Arial" w:hAnsi="Arial"/>
          <w:rtl w:val="0"/>
        </w:rPr>
        <w:t xml:space="preserve">Childcare Act 2006</w:t>
      </w:r>
    </w:p>
    <w:p w:rsidR="00000000" w:rsidDel="00000000" w:rsidP="00000000" w:rsidRDefault="00000000" w:rsidRPr="00000000" w14:paraId="0000001D">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Further guidance</w:t>
      </w:r>
    </w:p>
    <w:p w:rsidR="00000000" w:rsidDel="00000000" w:rsidP="00000000" w:rsidRDefault="00000000" w:rsidRPr="00000000" w14:paraId="0000001E">
      <w:pPr>
        <w:spacing w:after="120" w:before="120" w:line="360" w:lineRule="auto"/>
        <w:rPr>
          <w:rFonts w:ascii="Arial" w:cs="Arial" w:eastAsia="Arial" w:hAnsi="Arial"/>
        </w:rPr>
      </w:pPr>
      <w:hyperlink r:id="rId8">
        <w:r w:rsidDel="00000000" w:rsidR="00000000" w:rsidRPr="00000000">
          <w:rPr>
            <w:rFonts w:ascii="Arial" w:cs="Arial" w:eastAsia="Arial" w:hAnsi="Arial"/>
            <w:u w:val="single"/>
            <w:rtl w:val="0"/>
          </w:rPr>
          <w:t xml:space="preserve">Dynamic Risk Management in the Early Years</w:t>
        </w:r>
      </w:hyperlink>
      <w:r w:rsidDel="00000000" w:rsidR="00000000" w:rsidRPr="00000000">
        <w:rPr>
          <w:rFonts w:ascii="Arial" w:cs="Arial" w:eastAsia="Arial" w:hAnsi="Arial"/>
          <w:rtl w:val="0"/>
        </w:rPr>
        <w:t xml:space="preserve"> (Alliance Publication)</w:t>
      </w:r>
    </w:p>
    <w:p w:rsidR="00000000" w:rsidDel="00000000" w:rsidP="00000000" w:rsidRDefault="00000000" w:rsidRPr="00000000" w14:paraId="0000001F">
      <w:pPr>
        <w:spacing w:after="120" w:before="120" w:line="360" w:lineRule="auto"/>
        <w:rPr>
          <w:rFonts w:ascii="Arial" w:cs="Arial" w:eastAsia="Arial" w:hAnsi="Arial"/>
        </w:rPr>
      </w:pPr>
      <w:r w:rsidDel="00000000" w:rsidR="00000000" w:rsidRPr="00000000">
        <w:rPr>
          <w:rFonts w:ascii="Arial" w:cs="Arial" w:eastAsia="Arial" w:hAnsi="Arial"/>
          <w:rtl w:val="0"/>
        </w:rPr>
        <w:t xml:space="preserve">Health and Safety Executive </w:t>
      </w:r>
      <w:r w:rsidDel="00000000" w:rsidR="00000000" w:rsidRPr="00000000">
        <w:rPr>
          <w:rFonts w:ascii="Arial" w:cs="Arial" w:eastAsia="Arial" w:hAnsi="Arial"/>
          <w:u w:val="single"/>
          <w:rtl w:val="0"/>
        </w:rPr>
        <w:t xml:space="preserve"> </w:t>
      </w:r>
      <w:hyperlink r:id="rId9">
        <w:r w:rsidDel="00000000" w:rsidR="00000000" w:rsidRPr="00000000">
          <w:rPr>
            <w:rFonts w:ascii="Arial" w:cs="Arial" w:eastAsia="Arial" w:hAnsi="Arial"/>
            <w:color w:val="0000ff"/>
            <w:u w:val="single"/>
            <w:rtl w:val="0"/>
          </w:rPr>
          <w:t xml:space="preserve">Managing risks and risk assessment at work: Overview - HSE</w:t>
        </w:r>
      </w:hyperlink>
      <w:r w:rsidDel="00000000" w:rsidR="00000000" w:rsidRPr="00000000">
        <w:rPr>
          <w:rtl w:val="0"/>
        </w:rPr>
      </w:r>
    </w:p>
    <w:p w:rsidR="00000000" w:rsidDel="00000000" w:rsidP="00000000" w:rsidRDefault="00000000" w:rsidRPr="00000000" w14:paraId="00000020">
      <w:pPr>
        <w:spacing w:after="120" w:before="120" w:line="360" w:lineRule="auto"/>
        <w:rPr>
          <w:rFonts w:ascii="Arial" w:cs="Arial" w:eastAsia="Arial" w:hAnsi="Arial"/>
        </w:rPr>
      </w:pPr>
      <w:r w:rsidDel="00000000" w:rsidR="00000000" w:rsidRPr="00000000">
        <w:rPr>
          <w:rFonts w:ascii="Arial" w:cs="Arial" w:eastAsia="Arial" w:hAnsi="Arial"/>
          <w:rtl w:val="0"/>
        </w:rPr>
        <w:t xml:space="preserve">Food Standards Agency </w:t>
      </w:r>
      <w:hyperlink r:id="rId10">
        <w:r w:rsidDel="00000000" w:rsidR="00000000" w:rsidRPr="00000000">
          <w:rPr>
            <w:rFonts w:ascii="Arial" w:cs="Arial" w:eastAsia="Arial" w:hAnsi="Arial"/>
            <w:color w:val="0000ff"/>
            <w:u w:val="single"/>
            <w:rtl w:val="0"/>
          </w:rPr>
          <w:t xml:space="preserve">Food Standards Agency - GOV.UK</w:t>
        </w:r>
      </w:hyperlink>
      <w:r w:rsidDel="00000000" w:rsidR="00000000" w:rsidRPr="00000000">
        <w:rPr>
          <w:rtl w:val="0"/>
        </w:rPr>
      </w:r>
    </w:p>
    <w:p w:rsidR="00000000" w:rsidDel="00000000" w:rsidP="00000000" w:rsidRDefault="00000000" w:rsidRPr="00000000" w14:paraId="00000021">
      <w:pPr>
        <w:spacing w:after="120" w:before="120" w:line="360" w:lineRule="auto"/>
        <w:rPr>
          <w:rFonts w:ascii="Arial" w:cs="Arial" w:eastAsia="Arial" w:hAnsi="Arial"/>
          <w:sz w:val="22"/>
          <w:szCs w:val="22"/>
        </w:rPr>
      </w:pPr>
      <w:r w:rsidDel="00000000" w:rsidR="00000000" w:rsidRPr="00000000">
        <w:rPr>
          <w:rFonts w:ascii="Arial" w:cs="Arial" w:eastAsia="Arial" w:hAnsi="Arial"/>
          <w:rtl w:val="0"/>
        </w:rPr>
        <w:t xml:space="preserve">Ministry or Housing, Communities &amp; Local Government </w:t>
      </w:r>
      <w:hyperlink r:id="rId11">
        <w:r w:rsidDel="00000000" w:rsidR="00000000" w:rsidRPr="00000000">
          <w:rPr>
            <w:rtl w:val="0"/>
          </w:rPr>
          <w:t xml:space="preserve">Ministry of </w:t>
        </w:r>
      </w:hyperlink>
      <w:hyperlink r:id="rId12">
        <w:r w:rsidDel="00000000" w:rsidR="00000000" w:rsidRPr="00000000">
          <w:rPr>
            <w:rFonts w:ascii="Arial" w:cs="Arial" w:eastAsia="Arial" w:hAnsi="Arial"/>
            <w:color w:val="0000ff"/>
            <w:u w:val="single"/>
            <w:rtl w:val="0"/>
          </w:rPr>
          <w:t xml:space="preserve">Housing, Communities and Local Government - GOV.UK</w:t>
        </w:r>
      </w:hyperlink>
      <w:r w:rsidDel="00000000" w:rsidR="00000000" w:rsidRPr="00000000">
        <w:rPr>
          <w:rtl w:val="0"/>
        </w:rPr>
      </w:r>
    </w:p>
    <w:p w:rsidR="00000000" w:rsidDel="00000000" w:rsidP="00000000" w:rsidRDefault="00000000" w:rsidRPr="00000000" w14:paraId="00000022">
      <w:pPr>
        <w:spacing w:after="120" w:before="120" w:line="360" w:lineRule="auto"/>
        <w:rPr>
          <w:rFonts w:ascii="Arial" w:cs="Arial" w:eastAsia="Arial" w:hAnsi="Arial"/>
          <w:sz w:val="22"/>
          <w:szCs w:val="22"/>
        </w:rPr>
      </w:pPr>
      <w:r w:rsidDel="00000000" w:rsidR="00000000" w:rsidRPr="00000000">
        <w:rPr>
          <w:rtl w:val="0"/>
        </w:rPr>
      </w:r>
    </w:p>
    <w:sectPr>
      <w:headerReference r:id="rId13" w:type="default"/>
      <w:footerReference r:id="rId14"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9">
    <w:name w:val="heading 9"/>
    <w:basedOn w:val="Normal"/>
    <w:next w:val="Normal"/>
    <w:link w:val="Heading9Char"/>
    <w:uiPriority w:val="9"/>
    <w:semiHidden w:val="1"/>
    <w:unhideWhenUsed w:val="1"/>
    <w:qFormat w:val="1"/>
    <w:rsid w:val="009D08F3"/>
    <w:pPr>
      <w:keepNext w:val="1"/>
      <w:keepLines w:val="1"/>
      <w:spacing w:before="200"/>
      <w:outlineLvl w:val="8"/>
    </w:pPr>
    <w:rPr>
      <w:rFonts w:ascii="Cambria" w:hAnsi="Cambria"/>
      <w:i w:val="1"/>
      <w:iCs w:val="1"/>
      <w:color w:val="404040"/>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AC7BC8"/>
    <w:rPr>
      <w:rFonts w:eastAsia="Times New Roman"/>
      <w:b w:val="1"/>
      <w:bCs w:val="1"/>
      <w:kern w:val="32"/>
      <w:sz w:val="32"/>
      <w:szCs w:val="32"/>
    </w:rPr>
  </w:style>
  <w:style w:type="character" w:styleId="Hyperlink">
    <w:name w:val="Hyperlink"/>
    <w:basedOn w:val="DefaultParagraphFont"/>
    <w:semiHidden w:val="1"/>
    <w:rsid w:val="00AC7BC8"/>
    <w:rPr>
      <w:color w:val="0000ff"/>
      <w:u w:val="single"/>
    </w:rPr>
  </w:style>
  <w:style w:type="paragraph" w:styleId="BodyText3">
    <w:name w:val="Body Text 3"/>
    <w:basedOn w:val="Normal"/>
    <w:link w:val="BodyText3Char"/>
    <w:uiPriority w:val="99"/>
    <w:unhideWhenUsed w:val="1"/>
    <w:rsid w:val="00AC7BC8"/>
    <w:pPr>
      <w:spacing w:after="120"/>
    </w:pPr>
    <w:rPr>
      <w:sz w:val="16"/>
      <w:szCs w:val="16"/>
    </w:rPr>
  </w:style>
  <w:style w:type="character" w:styleId="BodyText3Char" w:customStyle="1">
    <w:name w:val="Body Text 3 Char"/>
    <w:basedOn w:val="DefaultParagraphFont"/>
    <w:link w:val="BodyText3"/>
    <w:uiPriority w:val="99"/>
    <w:rsid w:val="00AC7BC8"/>
    <w:rPr>
      <w:rFonts w:ascii="Times New Roman" w:cs="Times New Roman" w:eastAsia="Times New Roman" w:hAnsi="Times New Roman"/>
      <w:sz w:val="16"/>
      <w:szCs w:val="16"/>
    </w:rPr>
  </w:style>
  <w:style w:type="paragraph" w:styleId="ListParagraph">
    <w:name w:val="List Paragraph"/>
    <w:basedOn w:val="Normal"/>
    <w:uiPriority w:val="34"/>
    <w:qFormat w:val="1"/>
    <w:rsid w:val="00AC7BC8"/>
    <w:pPr>
      <w:ind w:left="720"/>
      <w:contextualSpacing w:val="1"/>
    </w:pPr>
  </w:style>
  <w:style w:type="paragraph" w:styleId="Header">
    <w:name w:val="header"/>
    <w:basedOn w:val="Normal"/>
    <w:link w:val="HeaderChar"/>
    <w:uiPriority w:val="99"/>
    <w:unhideWhenUsed w:val="1"/>
    <w:rsid w:val="00E07382"/>
    <w:pPr>
      <w:tabs>
        <w:tab w:val="center" w:pos="4513"/>
        <w:tab w:val="right" w:pos="9026"/>
      </w:tabs>
    </w:pPr>
  </w:style>
  <w:style w:type="character" w:styleId="HeaderChar" w:customStyle="1">
    <w:name w:val="Header Char"/>
    <w:basedOn w:val="DefaultParagraphFont"/>
    <w:link w:val="Header"/>
    <w:uiPriority w:val="99"/>
    <w:rsid w:val="00E07382"/>
    <w:rPr>
      <w:rFonts w:ascii="Times New Roman" w:cs="Times New Roman" w:eastAsia="Times New Roman" w:hAnsi="Times New Roman"/>
      <w:sz w:val="24"/>
    </w:rPr>
  </w:style>
  <w:style w:type="paragraph" w:styleId="Footer">
    <w:name w:val="footer"/>
    <w:basedOn w:val="Normal"/>
    <w:link w:val="FooterChar"/>
    <w:uiPriority w:val="99"/>
    <w:unhideWhenUsed w:val="1"/>
    <w:rsid w:val="00E07382"/>
    <w:pPr>
      <w:tabs>
        <w:tab w:val="center" w:pos="4513"/>
        <w:tab w:val="right" w:pos="9026"/>
      </w:tabs>
    </w:pPr>
  </w:style>
  <w:style w:type="character" w:styleId="FooterChar" w:customStyle="1">
    <w:name w:val="Footer Char"/>
    <w:basedOn w:val="DefaultParagraphFont"/>
    <w:link w:val="Footer"/>
    <w:uiPriority w:val="99"/>
    <w:rsid w:val="00E07382"/>
    <w:rPr>
      <w:rFonts w:ascii="Times New Roman" w:cs="Times New Roman" w:eastAsia="Times New Roman" w:hAnsi="Times New Roman"/>
      <w:sz w:val="24"/>
    </w:rPr>
  </w:style>
  <w:style w:type="paragraph" w:styleId="BalloonText">
    <w:name w:val="Balloon Text"/>
    <w:basedOn w:val="Normal"/>
    <w:link w:val="BalloonTextChar"/>
    <w:uiPriority w:val="99"/>
    <w:semiHidden w:val="1"/>
    <w:unhideWhenUsed w:val="1"/>
    <w:rsid w:val="00E07382"/>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07382"/>
    <w:rPr>
      <w:rFonts w:ascii="Tahoma" w:cs="Tahoma" w:eastAsia="Times New Roman" w:hAnsi="Tahoma"/>
      <w:sz w:val="16"/>
      <w:szCs w:val="16"/>
    </w:rPr>
  </w:style>
  <w:style w:type="character" w:styleId="Heading2Char" w:customStyle="1">
    <w:name w:val="Heading 2 Char"/>
    <w:basedOn w:val="DefaultParagraphFont"/>
    <w:link w:val="Heading2"/>
    <w:uiPriority w:val="9"/>
    <w:rsid w:val="009D08F3"/>
    <w:rPr>
      <w:rFonts w:ascii="Cambria" w:cs="Times New Roman" w:eastAsia="Times New Roman" w:hAnsi="Cambria"/>
      <w:b w:val="1"/>
      <w:bCs w:val="1"/>
      <w:color w:val="4f81bd"/>
      <w:sz w:val="26"/>
      <w:szCs w:val="26"/>
    </w:rPr>
  </w:style>
  <w:style w:type="character" w:styleId="Heading6Char" w:customStyle="1">
    <w:name w:val="Heading 6 Char"/>
    <w:basedOn w:val="DefaultParagraphFont"/>
    <w:link w:val="Heading6"/>
    <w:uiPriority w:val="9"/>
    <w:rsid w:val="009D08F3"/>
    <w:rPr>
      <w:rFonts w:ascii="Cambria" w:cs="Times New Roman" w:eastAsia="Times New Roman" w:hAnsi="Cambria"/>
      <w:i w:val="1"/>
      <w:iCs w:val="1"/>
      <w:color w:val="243f60"/>
      <w:sz w:val="24"/>
    </w:rPr>
  </w:style>
  <w:style w:type="character" w:styleId="Strong">
    <w:name w:val="Strong"/>
    <w:basedOn w:val="DefaultParagraphFont"/>
    <w:qFormat w:val="1"/>
    <w:rsid w:val="009D08F3"/>
    <w:rPr>
      <w:b w:val="1"/>
    </w:rPr>
  </w:style>
  <w:style w:type="character" w:styleId="Heading3Char" w:customStyle="1">
    <w:name w:val="Heading 3 Char"/>
    <w:basedOn w:val="DefaultParagraphFont"/>
    <w:link w:val="Heading3"/>
    <w:uiPriority w:val="9"/>
    <w:rsid w:val="009D08F3"/>
    <w:rPr>
      <w:rFonts w:ascii="Cambria" w:cs="Times New Roman" w:eastAsia="Times New Roman" w:hAnsi="Cambria"/>
      <w:b w:val="1"/>
      <w:bCs w:val="1"/>
      <w:color w:val="4f81bd"/>
      <w:sz w:val="24"/>
    </w:rPr>
  </w:style>
  <w:style w:type="paragraph" w:styleId="BodyText">
    <w:name w:val="Body Text"/>
    <w:basedOn w:val="Normal"/>
    <w:link w:val="BodyTextChar"/>
    <w:uiPriority w:val="99"/>
    <w:unhideWhenUsed w:val="1"/>
    <w:rsid w:val="009D08F3"/>
    <w:pPr>
      <w:spacing w:after="120"/>
    </w:pPr>
  </w:style>
  <w:style w:type="character" w:styleId="BodyTextChar" w:customStyle="1">
    <w:name w:val="Body Text Char"/>
    <w:basedOn w:val="DefaultParagraphFont"/>
    <w:link w:val="BodyText"/>
    <w:uiPriority w:val="99"/>
    <w:rsid w:val="009D08F3"/>
    <w:rPr>
      <w:rFonts w:ascii="Times New Roman" w:cs="Times New Roman" w:eastAsia="Times New Roman" w:hAnsi="Times New Roman"/>
      <w:sz w:val="24"/>
    </w:rPr>
  </w:style>
  <w:style w:type="character" w:styleId="Heading4Char" w:customStyle="1">
    <w:name w:val="Heading 4 Char"/>
    <w:basedOn w:val="DefaultParagraphFont"/>
    <w:link w:val="Heading4"/>
    <w:uiPriority w:val="9"/>
    <w:semiHidden w:val="1"/>
    <w:rsid w:val="009D08F3"/>
    <w:rPr>
      <w:rFonts w:ascii="Cambria" w:cs="Times New Roman" w:eastAsia="Times New Roman" w:hAnsi="Cambria"/>
      <w:b w:val="1"/>
      <w:bCs w:val="1"/>
      <w:i w:val="1"/>
      <w:iCs w:val="1"/>
      <w:color w:val="4f81bd"/>
      <w:sz w:val="24"/>
    </w:rPr>
  </w:style>
  <w:style w:type="character" w:styleId="Heading9Char" w:customStyle="1">
    <w:name w:val="Heading 9 Char"/>
    <w:basedOn w:val="DefaultParagraphFont"/>
    <w:link w:val="Heading9"/>
    <w:uiPriority w:val="9"/>
    <w:semiHidden w:val="1"/>
    <w:rsid w:val="009D08F3"/>
    <w:rPr>
      <w:rFonts w:ascii="Cambria" w:cs="Times New Roman" w:eastAsia="Times New Roman" w:hAnsi="Cambria"/>
      <w:i w:val="1"/>
      <w:iCs w:val="1"/>
      <w:color w:val="404040"/>
      <w:sz w:val="20"/>
      <w:szCs w:val="20"/>
    </w:rPr>
  </w:style>
  <w:style w:type="paragraph" w:styleId="BodyTextIndent3">
    <w:name w:val="Body Text Indent 3"/>
    <w:basedOn w:val="Normal"/>
    <w:link w:val="BodyTextIndent3Char"/>
    <w:uiPriority w:val="99"/>
    <w:semiHidden w:val="1"/>
    <w:unhideWhenUsed w:val="1"/>
    <w:rsid w:val="009D08F3"/>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9D08F3"/>
    <w:rPr>
      <w:rFonts w:ascii="Times New Roman" w:cs="Times New Roman" w:eastAsia="Times New Roman" w:hAnsi="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styleId="FootnoteTextChar" w:customStyle="1">
    <w:name w:val="Footnote Text Char"/>
    <w:basedOn w:val="DefaultParagraphFont"/>
    <w:link w:val="FootnoteText"/>
    <w:uiPriority w:val="99"/>
    <w:rsid w:val="003C4CA0"/>
    <w:rPr>
      <w:rFonts w:ascii="Tahoma" w:cs="Times New Roman" w:eastAsia="Times New Roman" w:hAnsi="Tahoma"/>
      <w:color w:val="000000"/>
    </w:rPr>
  </w:style>
  <w:style w:type="character" w:styleId="FollowedHyperlink">
    <w:name w:val="FollowedHyperlink"/>
    <w:basedOn w:val="DefaultParagraphFont"/>
    <w:uiPriority w:val="99"/>
    <w:semiHidden w:val="1"/>
    <w:unhideWhenUsed w:val="1"/>
    <w:rsid w:val="00D95538"/>
    <w:rPr>
      <w:color w:val="954f72" w:themeColor="followedHyperlink"/>
      <w:u w:val="single"/>
    </w:rPr>
  </w:style>
  <w:style w:type="character" w:styleId="UnresolvedMention">
    <w:name w:val="Unresolved Mention"/>
    <w:basedOn w:val="DefaultParagraphFont"/>
    <w:uiPriority w:val="99"/>
    <w:semiHidden w:val="1"/>
    <w:unhideWhenUsed w:val="1"/>
    <w:rsid w:val="00C5446F"/>
    <w:rPr>
      <w:color w:val="605e5c"/>
      <w:shd w:color="auto" w:fill="e1dfdd" w:val="clear"/>
    </w:rPr>
  </w:style>
  <w:style w:type="paragraph" w:styleId="Revision">
    <w:name w:val="Revision"/>
    <w:hidden w:val="1"/>
    <w:uiPriority w:val="71"/>
    <w:semiHidden w:val="1"/>
    <w:rsid w:val="00C5446F"/>
    <w:rPr>
      <w:rFonts w:ascii="Times New Roman" w:cs="Times New Roman" w:eastAsia="Times New Roman" w:hAnsi="Times New Roman"/>
      <w:sz w:val="24"/>
      <w:szCs w:val="24"/>
      <w:lang w:eastAsia="en-US"/>
    </w:rPr>
  </w:style>
  <w:style w:type="character" w:styleId="CommentReference">
    <w:name w:val="annotation reference"/>
    <w:basedOn w:val="DefaultParagraphFont"/>
    <w:uiPriority w:val="99"/>
    <w:semiHidden w:val="1"/>
    <w:unhideWhenUsed w:val="1"/>
    <w:rsid w:val="00B37851"/>
    <w:rPr>
      <w:sz w:val="16"/>
      <w:szCs w:val="16"/>
    </w:rPr>
  </w:style>
  <w:style w:type="paragraph" w:styleId="CommentText">
    <w:name w:val="annotation text"/>
    <w:basedOn w:val="Normal"/>
    <w:link w:val="CommentTextChar"/>
    <w:uiPriority w:val="99"/>
    <w:semiHidden w:val="1"/>
    <w:unhideWhenUsed w:val="1"/>
    <w:rsid w:val="00B37851"/>
    <w:rPr>
      <w:sz w:val="20"/>
      <w:szCs w:val="20"/>
    </w:rPr>
  </w:style>
  <w:style w:type="character" w:styleId="CommentTextChar" w:customStyle="1">
    <w:name w:val="Comment Text Char"/>
    <w:basedOn w:val="DefaultParagraphFont"/>
    <w:link w:val="CommentText"/>
    <w:uiPriority w:val="99"/>
    <w:semiHidden w:val="1"/>
    <w:rsid w:val="00B37851"/>
    <w:rPr>
      <w:rFonts w:ascii="Times New Roman" w:cs="Times New Roman" w:eastAsia="Times New Roman" w:hAnsi="Times New Roman"/>
      <w:lang w:eastAsia="en-US"/>
    </w:rPr>
  </w:style>
  <w:style w:type="paragraph" w:styleId="CommentSubject">
    <w:name w:val="annotation subject"/>
    <w:basedOn w:val="CommentText"/>
    <w:next w:val="CommentText"/>
    <w:link w:val="CommentSubjectChar"/>
    <w:uiPriority w:val="99"/>
    <w:semiHidden w:val="1"/>
    <w:unhideWhenUsed w:val="1"/>
    <w:rsid w:val="00B37851"/>
    <w:rPr>
      <w:b w:val="1"/>
      <w:bCs w:val="1"/>
    </w:rPr>
  </w:style>
  <w:style w:type="character" w:styleId="CommentSubjectChar" w:customStyle="1">
    <w:name w:val="Comment Subject Char"/>
    <w:basedOn w:val="CommentTextChar"/>
    <w:link w:val="CommentSubject"/>
    <w:uiPriority w:val="99"/>
    <w:semiHidden w:val="1"/>
    <w:rsid w:val="00B37851"/>
    <w:rPr>
      <w:rFonts w:ascii="Times New Roman" w:cs="Times New Roman" w:eastAsia="Times New Roman" w:hAnsi="Times New Roman"/>
      <w:b w:val="1"/>
      <w:bCs w:val="1"/>
      <w:lang w:eastAsia="en-US"/>
    </w:rPr>
  </w:style>
  <w:style w:type="table" w:styleId="TableGrid">
    <w:name w:val="Table Grid"/>
    <w:basedOn w:val="TableNormal"/>
    <w:uiPriority w:val="59"/>
    <w:rsid w:val="00287D9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uk/government/organisations/ministry-of-housing-communities-local-government" TargetMode="External"/><Relationship Id="rId10" Type="http://schemas.openxmlformats.org/officeDocument/2006/relationships/hyperlink" Target="https://www.gov.uk/government/organisations/food-standards-agency" TargetMode="External"/><Relationship Id="rId13" Type="http://schemas.openxmlformats.org/officeDocument/2006/relationships/header" Target="header1.xml"/><Relationship Id="rId12" Type="http://schemas.openxmlformats.org/officeDocument/2006/relationships/hyperlink" Target="https://www.gov.uk/government/organisations/ministry-of-housing-communities-local-governm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se.gov.uk/simple-health-safety/risk/index.ht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portal.eyalliance.org.uk/Shop#!prod/d28ed1d4-7564-ea11-a811-000d3a0bad7c/curr/GB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OcHyggWBHgH/C8vqvvJN54As+g==">CgMxLjAyDmgubjl0NnRid2hpcDJuOAByITF1NzJiWUsxck5ZSzk3SDc2amtYWjZDbzF2a0NITkpHNw==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2024-01-02T13:16:00.0000000Z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